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jc w:val="center"/>
        <w:spacing w:before="0"/>
        <w:widowControl w:val="off"/>
        <w:rPr>
          <w:rFonts w:ascii="Times New Roman" w:hAnsi="Times New Roman" w:cs="Times New Roman"/>
          <w:b/>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Заместитель Генерального директора по управлению ресурсами АО «ДГК»</w:t>
      </w:r>
      <w:r>
        <w:rPr>
          <w:rFonts w:ascii="Times New Roman" w:hAnsi="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__________________Д.А. Богонатов</w:t>
      </w:r>
      <w:r>
        <w:rPr>
          <w:rFonts w:ascii="Times New Roman" w:hAnsi="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 2026</w:t>
      </w:r>
      <w:r>
        <w:rPr>
          <w:rFonts w:ascii="Times New Roman" w:hAnsi="Times New Roman" w:cs="Times New Roman"/>
          <w:sz w:val="24"/>
          <w:szCs w:val="24"/>
        </w:rPr>
      </w:r>
      <w:r>
        <w:rPr>
          <w:rFonts w:ascii="Times New Roman" w:hAnsi="Times New Roman" w:cs="Times New Roman"/>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jc w:val="right"/>
        <w:rPr>
          <w:rFonts w:ascii="Times New Roman" w:hAnsi="Times New Roman" w:cs="Times New Roman"/>
          <w:b/>
          <w:sz w:val="20"/>
          <w:szCs w:val="20"/>
        </w:rPr>
      </w:pPr>
      <w:r>
        <w:rPr>
          <w:rFonts w:ascii="Times New Roman" w:hAnsi="Times New Roman" w:eastAsia="Times New Roman" w:cs="Times New Roman"/>
          <w:b/>
          <w:sz w:val="24"/>
          <w:szCs w:val="24"/>
        </w:rPr>
      </w:r>
      <w:r>
        <w:rPr>
          <w:rFonts w:ascii="Times New Roman" w:hAnsi="Times New Roman" w:cs="Times New Roman"/>
          <w:b/>
          <w:sz w:val="20"/>
          <w:szCs w:val="20"/>
        </w:rPr>
      </w:r>
      <w:r>
        <w:rPr>
          <w:rFonts w:ascii="Times New Roman" w:hAnsi="Times New Roman" w:cs="Times New Roman"/>
          <w:b/>
          <w:sz w:val="20"/>
          <w:szCs w:val="20"/>
        </w:rPr>
      </w:r>
    </w:p>
    <w:p>
      <w:pPr>
        <w:ind w:left="3424" w:hanging="11"/>
        <w:jc w:val="cente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jc w:val="center"/>
        <w:spacing w:before="480" w:after="36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cs="Times New Roman"/>
          <w:b/>
          <w:sz w:val="24"/>
          <w:szCs w:val="24"/>
        </w:rPr>
      </w:r>
      <w:r>
        <w:rPr>
          <w:rFonts w:ascii="Times New Roman" w:hAnsi="Times New Roman" w:cs="Times New Roman"/>
          <w:b/>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b/>
          <w:bCs/>
          <w:sz w:val="24"/>
          <w:szCs w:val="24"/>
        </w:rPr>
      </w:pPr>
      <w:r>
        <w:rPr>
          <w:rFonts w:ascii="Times New Roman" w:hAnsi="Times New Roman" w:eastAsia="Times New Roman" w:cs="Times New Roman"/>
          <w:sz w:val="24"/>
          <w:szCs w:val="24"/>
        </w:rPr>
        <w:t xml:space="preserve">ЗАПРОС ПРЕДЛОЖЕНИЙ </w:t>
      </w:r>
      <w:r>
        <w:rPr>
          <w:rFonts w:ascii="Times New Roman" w:hAnsi="Times New Roman" w:eastAsia="Times New Roman" w:cs="Times New Roman"/>
          <w:sz w:val="24"/>
          <w:szCs w:val="24"/>
        </w:rPr>
        <w:t xml:space="preserve">В ЭЛЕКТРОННОЙ ФОРМЕ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ОКПД2 43.12.11.190. Выполнение работ по разработке и перемещению золы из дополнительной секции буферного золоотвала в буферный золоотвал Хабаровской ТЭЦ-1, г. Хабаровск</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(ЛОТ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41020021-ЭКСП ПРОД-2026-ДГК-ХТЭЦ1</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3"/>
        <w:rPr>
          <w:rFonts w:ascii="Times New Roman" w:hAnsi="Times New Roman" w:cs="Times New Roman"/>
          <w:sz w:val="24"/>
          <w:szCs w:val="24"/>
        </w:rPr>
        <w:sectPr>
          <w:footnotePr/>
          <w:endnotePr/>
          <w:type w:val="nextPage"/>
          <w:pgSz w:w="11906" w:h="16838" w:orient="portrait"/>
          <w:pgMar w:top="851" w:right="850" w:bottom="851" w:left="1134" w:header="709" w:footer="709"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4"/>
          <w:szCs w:val="24"/>
        </w:rPr>
      </w:r>
      <w:r>
        <w:rPr>
          <w:rFonts w:ascii="Times New Roman" w:hAnsi="Times New Roman" w:cs="Times New Roman"/>
          <w:sz w:val="24"/>
          <w:szCs w:val="24"/>
        </w:rPr>
      </w:r>
    </w:p>
    <w:p>
      <w:pPr>
        <w:pStyle w:val="1172"/>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186224011" w:anchor="_Toc186224011" w:history="1">
        <w:r>
          <w:rPr>
            <w:rStyle w:val="1183"/>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2" w:anchor="_Toc186224012" w:history="1">
        <w:r>
          <w:rPr>
            <w:rStyle w:val="1183"/>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3" w:anchor="_Toc186224013" w:history="1">
        <w:r>
          <w:rPr>
            <w:rStyle w:val="1183"/>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4" w:anchor="_Toc186224014" w:history="1">
        <w:r>
          <w:rPr>
            <w:rStyle w:val="1183"/>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5" w:anchor="_Toc186224015" w:history="1">
        <w:r>
          <w:rPr>
            <w:rStyle w:val="1183"/>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6" w:anchor="_Toc186224016" w:history="1">
        <w:r>
          <w:rPr>
            <w:rStyle w:val="1183"/>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7" w:anchor="_Toc186224017" w:history="1">
        <w:r>
          <w:rPr>
            <w:rStyle w:val="1183"/>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8" w:anchor="_Toc186224018" w:history="1">
        <w:r>
          <w:rPr>
            <w:rStyle w:val="1183"/>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9" w:anchor="_Toc186224019" w:history="1">
        <w:r>
          <w:rPr>
            <w:rStyle w:val="1183"/>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0" w:anchor="_Toc186224020" w:history="1">
        <w:r>
          <w:rPr>
            <w:rStyle w:val="1183"/>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1" w:anchor="_Toc186224021" w:history="1">
        <w:r>
          <w:rPr>
            <w:rStyle w:val="1183"/>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2" w:anchor="_Toc186224022" w:history="1">
        <w:r>
          <w:rPr>
            <w:rStyle w:val="1183"/>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3" w:anchor="_Toc186224023" w:history="1">
        <w:r>
          <w:rPr>
            <w:rStyle w:val="1183"/>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4" w:anchor="_Toc186224024" w:history="1">
        <w:r>
          <w:rPr>
            <w:rStyle w:val="1183"/>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5" w:anchor="_Toc186224025" w:history="1">
        <w:r>
          <w:rPr>
            <w:rStyle w:val="1183"/>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6" w:anchor="_Toc186224026" w:history="1">
        <w:r>
          <w:rPr>
            <w:rStyle w:val="1183"/>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7" w:anchor="_Toc186224027" w:history="1">
        <w:r>
          <w:rPr>
            <w:rStyle w:val="1183"/>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8" w:anchor="_Toc186224028" w:history="1">
        <w:r>
          <w:rPr>
            <w:rStyle w:val="1183"/>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9" w:anchor="_Toc186224029" w:history="1">
        <w:r>
          <w:rPr>
            <w:rStyle w:val="1183"/>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0" w:anchor="_Toc186224030" w:history="1">
        <w:r>
          <w:rPr>
            <w:rStyle w:val="1183"/>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1" w:anchor="_Toc186224031" w:history="1">
        <w:r>
          <w:rPr>
            <w:rStyle w:val="1183"/>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2" w:anchor="_Toc186224032" w:history="1">
        <w:r>
          <w:rPr>
            <w:rStyle w:val="1183"/>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3" w:anchor="_Toc186224033" w:history="1">
        <w:r>
          <w:rPr>
            <w:rStyle w:val="1183"/>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4" w:anchor="_Toc186224034" w:history="1">
        <w:r>
          <w:rPr>
            <w:rStyle w:val="1183"/>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5" w:anchor="_Toc186224035" w:history="1">
        <w:r>
          <w:rPr>
            <w:rStyle w:val="1183"/>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6" w:anchor="_Toc186224036" w:history="1">
        <w:r>
          <w:rPr>
            <w:rStyle w:val="1183"/>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7" w:anchor="_Toc186224037" w:history="1">
        <w:r>
          <w:rPr>
            <w:rStyle w:val="1183"/>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8" w:anchor="_Toc186224038" w:history="1">
        <w:r>
          <w:rPr>
            <w:rStyle w:val="1183"/>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Переторжка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9" w:anchor="_Toc186224039" w:history="1">
        <w:r>
          <w:rPr>
            <w:rStyle w:val="1183"/>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0" w:anchor="_Toc186224040" w:history="1">
        <w:r>
          <w:rPr>
            <w:rStyle w:val="1183"/>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1" w:anchor="_Toc186224041" w:history="1">
        <w:r>
          <w:rPr>
            <w:rStyle w:val="1183"/>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Преференции в части использования российского алюминия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2" w:anchor="_Toc186224042" w:history="1">
        <w:r>
          <w:rPr>
            <w:rStyle w:val="1183"/>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3" w:anchor="_Toc186224043" w:history="1">
        <w:r>
          <w:rPr>
            <w:rStyle w:val="1183"/>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4" w:anchor="_Toc186224044" w:history="1">
        <w:r>
          <w:rPr>
            <w:rStyle w:val="1183"/>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5" w:anchor="_Toc186224045" w:history="1">
        <w:r>
          <w:rPr>
            <w:rStyle w:val="1183"/>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6" w:anchor="_Toc186224046" w:history="1">
        <w:r>
          <w:rPr>
            <w:rStyle w:val="1183"/>
            <w:rFonts w:ascii="Times New Roman" w:hAnsi="Times New Roman" w:eastAsia="Times New Roman" w:cs="Times New Roman"/>
            <w:sz w:val="22"/>
            <w:szCs w:val="22"/>
          </w:rPr>
          <w:t xml:space="preserve">4.19</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7" w:anchor="_Toc186224047" w:history="1">
        <w:r>
          <w:rPr>
            <w:rStyle w:val="1183"/>
            <w:rFonts w:ascii="Times New Roman" w:hAnsi="Times New Roman" w:eastAsia="Times New Roman" w:cs="Times New Roman"/>
            <w:sz w:val="22"/>
            <w:szCs w:val="22"/>
          </w:rPr>
          <w:t xml:space="preserve">4.20</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Особенности проведения закупки с возможностью подачи альтернативных предложений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8" w:anchor="_Toc186224048" w:history="1">
        <w:r>
          <w:rPr>
            <w:rStyle w:val="1183"/>
            <w:rFonts w:ascii="Times New Roman" w:hAnsi="Times New Roman" w:eastAsia="Times New Roman" w:cs="Times New Roman"/>
            <w:sz w:val="22"/>
            <w:szCs w:val="22"/>
          </w:rPr>
          <w:t xml:space="preserve">4.21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Особенности проведения закупки с выбором нескольких победителей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49" w:anchor="_Toc186224049" w:history="1">
        <w:r>
          <w:rPr>
            <w:rStyle w:val="1183"/>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0" w:anchor="_Toc186224050" w:history="1">
        <w:r>
          <w:rPr>
            <w:rStyle w:val="1183"/>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1" w:anchor="_Toc186224051" w:history="1">
        <w:r>
          <w:rPr>
            <w:rStyle w:val="1183"/>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2" w:anchor="_Toc186224052" w:history="1">
        <w:r>
          <w:rPr>
            <w:rStyle w:val="1183"/>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3" w:anchor="_Toc186224053" w:history="1">
        <w:r>
          <w:rPr>
            <w:rStyle w:val="1183"/>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4" w:anchor="_Toc186224054" w:history="1">
        <w:r>
          <w:rPr>
            <w:rStyle w:val="1183"/>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5" w:anchor="_Toc186224055" w:history="1">
        <w:r>
          <w:rPr>
            <w:rStyle w:val="1183"/>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6" w:anchor="_Toc186224056" w:history="1">
        <w:r>
          <w:rPr>
            <w:rStyle w:val="1183"/>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7" w:anchor="_Toc186224057" w:history="1">
        <w:r>
          <w:rPr>
            <w:rStyle w:val="1183"/>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8" w:anchor="_Toc186224058" w:history="1">
        <w:r>
          <w:rPr>
            <w:rStyle w:val="1183"/>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9" w:anchor="_Toc186224059" w:history="1">
        <w:r>
          <w:rPr>
            <w:rStyle w:val="1183"/>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0" w:anchor="_Toc186224060" w:history="1">
        <w:r>
          <w:rPr>
            <w:rStyle w:val="1183"/>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1" w:anchor="_Toc186224061" w:history="1">
        <w:r>
          <w:rPr>
            <w:rStyle w:val="1183"/>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2" w:anchor="_Toc186224062" w:history="1">
        <w:r>
          <w:rPr>
            <w:rStyle w:val="1183"/>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3" w:anchor="_Toc186224063" w:history="1">
        <w:r>
          <w:rPr>
            <w:rStyle w:val="1183"/>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4" w:anchor="_Toc186224064" w:history="1">
        <w:r>
          <w:rPr>
            <w:rStyle w:val="1183"/>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5" w:anchor="_Toc186224065" w:history="1">
        <w:r>
          <w:rPr>
            <w:rStyle w:val="1183"/>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6" w:anchor="_Toc186224066" w:history="1">
        <w:r>
          <w:rPr>
            <w:rStyle w:val="1183"/>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7" w:anchor="_Toc186224067" w:history="1">
        <w:r>
          <w:rPr>
            <w:rStyle w:val="1183"/>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8" w:anchor="_Toc186224068" w:history="1">
        <w:r>
          <w:rPr>
            <w:rStyle w:val="1183"/>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9" w:anchor="_Toc186224069" w:history="1">
        <w:r>
          <w:rPr>
            <w:rStyle w:val="1183"/>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0" w:anchor="_Toc186224070" w:history="1">
        <w:r>
          <w:rPr>
            <w:rStyle w:val="1183"/>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1" w:anchor="_Toc186224071" w:history="1">
        <w:r>
          <w:rPr>
            <w:rStyle w:val="1183"/>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2" w:anchor="_Toc186224072" w:history="1">
        <w:r>
          <w:rPr>
            <w:rStyle w:val="1183"/>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3" w:anchor="_Toc186224073" w:history="1">
        <w:r>
          <w:rPr>
            <w:rStyle w:val="1183"/>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4" w:anchor="_Toc186224074" w:history="1">
        <w:r>
          <w:rPr>
            <w:rStyle w:val="1183"/>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5" w:anchor="_Toc186224075" w:history="1">
        <w:r>
          <w:rPr>
            <w:rStyle w:val="1183"/>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6" w:anchor="_Toc186224076" w:history="1">
        <w:r>
          <w:rPr>
            <w:rStyle w:val="1183"/>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7" w:anchor="_Toc186224077" w:history="1">
        <w:r>
          <w:rPr>
            <w:rStyle w:val="1183"/>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8" w:anchor="_Toc186224078" w:history="1">
        <w:r>
          <w:rPr>
            <w:rStyle w:val="1183"/>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9" w:anchor="_Toc186224079" w:history="1">
        <w:r>
          <w:rPr>
            <w:rStyle w:val="1183"/>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0" w:anchor="_Toc186224080" w:history="1">
        <w:r>
          <w:rPr>
            <w:rStyle w:val="1183"/>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86"/>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81" w:anchor="_Toc186224081" w:history="1">
        <w:r>
          <w:rPr>
            <w:rStyle w:val="1183"/>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183"/>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185"/>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2" w:anchor="_Toc186224082" w:history="1">
        <w:r>
          <w:rPr>
            <w:rStyle w:val="1183"/>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183"/>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73"/>
        <w:keepNext/>
        <w:spacing w:before="60"/>
        <w:rPr>
          <w:rStyle w:val="1204"/>
          <w:rFonts w:ascii="Times New Roman" w:hAnsi="Times New Roman" w:cs="Times New Roman"/>
          <w:sz w:val="22"/>
          <w:szCs w:val="22"/>
        </w:rPr>
      </w:pPr>
      <w:r>
        <w:rPr>
          <w:rStyle w:val="1204"/>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04"/>
          <w:rFonts w:ascii="Times New Roman" w:hAnsi="Times New Roman" w:eastAsia="Times New Roman" w:cs="Times New Roman"/>
          <w:sz w:val="22"/>
          <w:szCs w:val="22"/>
        </w:rPr>
        <w:t xml:space="preserve">Microsoft Word | </w:t>
      </w:r>
      <w:r>
        <w:rPr>
          <w:rStyle w:val="1204"/>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04"/>
          <w:rFonts w:ascii="Times New Roman" w:hAnsi="Times New Roman" w:eastAsia="Times New Roman" w:cs="Times New Roman"/>
          <w:sz w:val="22"/>
          <w:szCs w:val="22"/>
        </w:rPr>
        <w:t xml:space="preserve">):</w:t>
      </w:r>
      <w:r>
        <w:rPr>
          <w:rStyle w:val="1204"/>
          <w:rFonts w:ascii="Times New Roman" w:hAnsi="Times New Roman" w:cs="Times New Roman"/>
          <w:sz w:val="22"/>
          <w:szCs w:val="22"/>
        </w:rPr>
      </w:r>
      <w:r>
        <w:rPr>
          <w:rStyle w:val="1204"/>
          <w:rFonts w:ascii="Times New Roman" w:hAnsi="Times New Roman" w:cs="Times New Roman"/>
          <w:sz w:val="22"/>
          <w:szCs w:val="22"/>
        </w:rPr>
      </w:r>
    </w:p>
    <w:p>
      <w:pPr>
        <w:pStyle w:val="1173"/>
        <w:numPr>
          <w:ilvl w:val="0"/>
          <w:numId w:val="16"/>
        </w:numPr>
        <w:ind w:left="284" w:hanging="284"/>
        <w:spacing w:before="60"/>
        <w:rPr>
          <w:rStyle w:val="1204"/>
          <w:rFonts w:ascii="Times New Roman" w:hAnsi="Times New Roman" w:cs="Times New Roman"/>
          <w:sz w:val="22"/>
          <w:szCs w:val="22"/>
        </w:rPr>
      </w:pPr>
      <w:r>
        <w:rPr>
          <w:rStyle w:val="1204"/>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04"/>
          <w:rFonts w:ascii="Times New Roman" w:hAnsi="Times New Roman" w:eastAsia="Times New Roman" w:cs="Times New Roman"/>
          <w:sz w:val="22"/>
          <w:szCs w:val="22"/>
        </w:rPr>
        <w:t xml:space="preserve"> </w:t>
      </w:r>
      <w:r>
        <w:rPr>
          <w:rStyle w:val="1204"/>
          <w:rFonts w:ascii="Times New Roman" w:hAnsi="Times New Roman" w:eastAsia="Times New Roman" w:cs="Times New Roman"/>
          <w:sz w:val="22"/>
          <w:szCs w:val="22"/>
        </w:rPr>
        <w:t xml:space="preserve">| </w:t>
      </w:r>
      <w:r>
        <w:rPr>
          <w:rStyle w:val="1204"/>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04"/>
          <w:rFonts w:ascii="Times New Roman" w:hAnsi="Times New Roman" w:eastAsia="Times New Roman" w:cs="Times New Roman"/>
          <w:sz w:val="22"/>
          <w:szCs w:val="22"/>
        </w:rPr>
        <w:t xml:space="preserve">;</w:t>
      </w:r>
      <w:r>
        <w:rPr>
          <w:rStyle w:val="1204"/>
          <w:rFonts w:ascii="Times New Roman" w:hAnsi="Times New Roman" w:cs="Times New Roman"/>
          <w:sz w:val="22"/>
          <w:szCs w:val="22"/>
        </w:rPr>
      </w:r>
      <w:r>
        <w:rPr>
          <w:rStyle w:val="1204"/>
          <w:rFonts w:ascii="Times New Roman" w:hAnsi="Times New Roman" w:cs="Times New Roman"/>
          <w:sz w:val="22"/>
          <w:szCs w:val="22"/>
        </w:rPr>
      </w:r>
    </w:p>
    <w:p>
      <w:pPr>
        <w:pStyle w:val="1173"/>
        <w:numPr>
          <w:ilvl w:val="0"/>
          <w:numId w:val="16"/>
        </w:numPr>
        <w:ind w:left="284" w:hanging="284"/>
        <w:spacing w:before="60"/>
        <w:rPr>
          <w:rStyle w:val="1204"/>
          <w:rFonts w:ascii="Times New Roman" w:hAnsi="Times New Roman" w:cs="Times New Roman"/>
          <w:sz w:val="22"/>
          <w:szCs w:val="22"/>
        </w:rPr>
      </w:pPr>
      <w:r>
        <w:rPr>
          <w:rStyle w:val="1204"/>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04"/>
          <w:rFonts w:ascii="Times New Roman" w:hAnsi="Times New Roman" w:eastAsia="Times New Roman" w:cs="Times New Roman"/>
          <w:sz w:val="22"/>
          <w:szCs w:val="22"/>
          <w:lang w:val="en-US"/>
        </w:rPr>
        <w:t xml:space="preserve"> </w:t>
      </w:r>
      <w:r>
        <w:rPr>
          <w:rStyle w:val="1204"/>
          <w:rFonts w:ascii="Times New Roman" w:hAnsi="Times New Roman" w:eastAsia="Times New Roman" w:cs="Times New Roman"/>
          <w:sz w:val="22"/>
          <w:szCs w:val="22"/>
        </w:rPr>
        <w:t xml:space="preserve">зажатой клавишей Ctrl, обратный возврат на место в тексте, с </w:t>
      </w:r>
      <w:r>
        <w:rPr>
          <w:rStyle w:val="1204"/>
          <w:rFonts w:ascii="Times New Roman" w:hAnsi="Times New Roman" w:eastAsia="Times New Roman" w:cs="Times New Roman"/>
          <w:sz w:val="22"/>
          <w:szCs w:val="22"/>
        </w:rPr>
        <w:t xml:space="preserve">котор</w:t>
      </w:r>
      <w:r>
        <w:rPr>
          <w:rStyle w:val="1204"/>
          <w:rFonts w:ascii="Times New Roman" w:hAnsi="Times New Roman" w:eastAsia="Times New Roman" w:cs="Times New Roman"/>
          <w:sz w:val="22"/>
          <w:szCs w:val="22"/>
        </w:rPr>
        <w:t xml:space="preserve">ого</w:t>
      </w:r>
      <w:r>
        <w:rPr>
          <w:rStyle w:val="1204"/>
          <w:rFonts w:ascii="Times New Roman" w:hAnsi="Times New Roman" w:eastAsia="Times New Roman" w:cs="Times New Roman"/>
          <w:sz w:val="22"/>
          <w:szCs w:val="22"/>
        </w:rPr>
        <w:t xml:space="preserve"> </w:t>
      </w:r>
      <w:r>
        <w:rPr>
          <w:rStyle w:val="1204"/>
          <w:rFonts w:ascii="Times New Roman" w:hAnsi="Times New Roman" w:eastAsia="Times New Roman" w:cs="Times New Roman"/>
          <w:sz w:val="22"/>
          <w:szCs w:val="22"/>
        </w:rPr>
        <w:t xml:space="preserve">был </w:t>
      </w:r>
      <w:r>
        <w:rPr>
          <w:rStyle w:val="1204"/>
          <w:rFonts w:ascii="Times New Roman" w:hAnsi="Times New Roman" w:eastAsia="Times New Roman" w:cs="Times New Roman"/>
          <w:sz w:val="22"/>
          <w:szCs w:val="22"/>
        </w:rPr>
        <w:t xml:space="preserve">сделан</w:t>
      </w:r>
      <w:r>
        <w:rPr>
          <w:rStyle w:val="1204"/>
          <w:rFonts w:ascii="Times New Roman" w:hAnsi="Times New Roman" w:eastAsia="Times New Roman" w:cs="Times New Roman"/>
          <w:sz w:val="22"/>
          <w:szCs w:val="22"/>
        </w:rPr>
        <w:t xml:space="preserve"> </w:t>
      </w:r>
      <w:r>
        <w:rPr>
          <w:rStyle w:val="1204"/>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04"/>
          <w:rFonts w:ascii="Times New Roman" w:hAnsi="Times New Roman" w:eastAsia="Times New Roman" w:cs="Times New Roman"/>
          <w:sz w:val="22"/>
          <w:szCs w:val="22"/>
        </w:rPr>
        <w:t xml:space="preserve"> </w:t>
      </w:r>
      <w:r>
        <w:rPr>
          <w:rStyle w:val="1204"/>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04"/>
          <w:rFonts w:ascii="Times New Roman" w:hAnsi="Times New Roman" w:eastAsia="Times New Roman" w:cs="Times New Roman"/>
          <w:sz w:val="22"/>
          <w:szCs w:val="22"/>
        </w:rPr>
        <w:t xml:space="preserve">;</w:t>
      </w:r>
      <w:r>
        <w:rPr>
          <w:rStyle w:val="1204"/>
          <w:rFonts w:ascii="Times New Roman" w:hAnsi="Times New Roman" w:cs="Times New Roman"/>
          <w:sz w:val="22"/>
          <w:szCs w:val="22"/>
        </w:rPr>
      </w:r>
      <w:r>
        <w:rPr>
          <w:rStyle w:val="1204"/>
          <w:rFonts w:ascii="Times New Roman" w:hAnsi="Times New Roman" w:cs="Times New Roman"/>
          <w:sz w:val="22"/>
          <w:szCs w:val="22"/>
        </w:rPr>
      </w:r>
    </w:p>
    <w:p>
      <w:pPr>
        <w:pStyle w:val="1173"/>
        <w:numPr>
          <w:ilvl w:val="0"/>
          <w:numId w:val="16"/>
        </w:numPr>
        <w:ind w:left="284" w:hanging="284"/>
        <w:spacing w:before="60"/>
        <w:rPr>
          <w:rStyle w:val="1204"/>
          <w:rFonts w:ascii="Times New Roman" w:hAnsi="Times New Roman" w:cs="Times New Roman"/>
          <w:sz w:val="22"/>
          <w:szCs w:val="22"/>
        </w:rPr>
      </w:pPr>
      <w:r>
        <w:rPr>
          <w:rStyle w:val="1204"/>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04"/>
          <w:rFonts w:ascii="Times New Roman" w:hAnsi="Times New Roman" w:eastAsia="Times New Roman" w:cs="Times New Roman"/>
          <w:sz w:val="22"/>
          <w:szCs w:val="22"/>
        </w:rPr>
        <w:t xml:space="preserve">е</w:t>
      </w:r>
      <w:r>
        <w:rPr>
          <w:rStyle w:val="1204"/>
          <w:rFonts w:ascii="Times New Roman" w:hAnsi="Times New Roman" w:eastAsia="Times New Roman" w:cs="Times New Roman"/>
          <w:sz w:val="22"/>
          <w:szCs w:val="22"/>
        </w:rPr>
        <w:t xml:space="preserve"> документа (файла) в</w:t>
      </w:r>
      <w:r>
        <w:rPr>
          <w:rStyle w:val="1204"/>
          <w:rFonts w:ascii="Times New Roman" w:hAnsi="Times New Roman" w:eastAsia="Times New Roman" w:cs="Times New Roman"/>
          <w:sz w:val="22"/>
          <w:szCs w:val="22"/>
          <w:lang w:val="en-US"/>
        </w:rPr>
        <w:t xml:space="preserve"> </w:t>
      </w:r>
      <w:r>
        <w:rPr>
          <w:rStyle w:val="1204"/>
          <w:rFonts w:ascii="Times New Roman" w:hAnsi="Times New Roman" w:eastAsia="Times New Roman" w:cs="Times New Roman"/>
          <w:sz w:val="22"/>
          <w:szCs w:val="22"/>
        </w:rPr>
        <w:t xml:space="preserve">тексте</w:t>
      </w:r>
      <w:r>
        <w:rPr>
          <w:rStyle w:val="1204"/>
          <w:rFonts w:ascii="Times New Roman" w:hAnsi="Times New Roman" w:eastAsia="Times New Roman" w:cs="Times New Roman"/>
          <w:sz w:val="22"/>
          <w:szCs w:val="22"/>
        </w:rPr>
        <w:t xml:space="preserve">;</w:t>
      </w:r>
      <w:r>
        <w:rPr>
          <w:rStyle w:val="1204"/>
          <w:rFonts w:ascii="Times New Roman" w:hAnsi="Times New Roman" w:cs="Times New Roman"/>
          <w:sz w:val="22"/>
          <w:szCs w:val="22"/>
        </w:rPr>
      </w:r>
      <w:r>
        <w:rPr>
          <w:rStyle w:val="1204"/>
          <w:rFonts w:ascii="Times New Roman" w:hAnsi="Times New Roman" w:cs="Times New Roman"/>
          <w:sz w:val="22"/>
          <w:szCs w:val="22"/>
        </w:rPr>
      </w:r>
    </w:p>
    <w:p>
      <w:pPr>
        <w:pStyle w:val="1173"/>
        <w:numPr>
          <w:ilvl w:val="0"/>
          <w:numId w:val="16"/>
        </w:numPr>
        <w:ind w:left="284" w:hanging="284"/>
        <w:spacing w:before="60"/>
        <w:rPr>
          <w:rStyle w:val="1204"/>
          <w:rFonts w:ascii="Times New Roman" w:hAnsi="Times New Roman" w:cs="Times New Roman"/>
          <w:sz w:val="22"/>
          <w:szCs w:val="22"/>
        </w:rPr>
      </w:pPr>
      <w:r>
        <w:rPr>
          <w:rStyle w:val="1204"/>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04"/>
          <w:rFonts w:ascii="Times New Roman" w:hAnsi="Times New Roman" w:eastAsia="Times New Roman" w:cs="Times New Roman"/>
          <w:sz w:val="22"/>
          <w:szCs w:val="22"/>
        </w:rPr>
        <w:t xml:space="preserve">.]</w:t>
      </w:r>
      <w:r>
        <w:rPr>
          <w:rStyle w:val="1204"/>
          <w:rFonts w:ascii="Times New Roman" w:hAnsi="Times New Roman" w:cs="Times New Roman"/>
          <w:sz w:val="22"/>
          <w:szCs w:val="22"/>
        </w:rPr>
      </w:r>
      <w:r>
        <w:rPr>
          <w:rStyle w:val="1204"/>
          <w:rFonts w:ascii="Times New Roman" w:hAnsi="Times New Roman" w:cs="Times New Roman"/>
          <w:sz w:val="22"/>
          <w:szCs w:val="22"/>
        </w:rPr>
      </w:r>
    </w:p>
    <w:p>
      <w:pPr>
        <w:pStyle w:val="1172"/>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186224011"/>
      <w:r>
        <w:rPr>
          <w:rFonts w:ascii="Times New Roman" w:hAnsi="Times New Roman" w:eastAsia="Times New Roman" w:cs="Times New Roman"/>
          <w:sz w:val="22"/>
          <w:szCs w:val="22"/>
        </w:rPr>
        <w:t xml:space="preserve">Сокращения</w:t>
      </w:r>
      <w:bookmarkEnd w:id="0"/>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Декларация ПИРААП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декларация о подтверждении использования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изготовлении продукции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их доли в общем объеме используемого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в натуральном выражении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181"/>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172"/>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186224012"/>
      <w:r>
        <w:rPr>
          <w:rFonts w:ascii="Times New Roman" w:hAnsi="Times New Roman" w:eastAsia="Times New Roman" w:cs="Times New Roman"/>
          <w:sz w:val="22"/>
          <w:szCs w:val="22"/>
        </w:rPr>
        <w:t xml:space="preserve">Термины и определения</w:t>
      </w:r>
      <w:bookmarkEnd w:id="1"/>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Альтернативное предложение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rPr>
          <w:rFonts w:ascii="Times New Roman" w:hAnsi="Times New Roman" w:eastAsia="Times New Roman" w:cs="Times New Roman"/>
          <w:sz w:val="22"/>
          <w:szCs w:val="22"/>
        </w:rPr>
        <w:t xml:space="preserve">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окончание срока размещения 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Переторжка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опциональный этап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 представляющий собой процедуру подачи Участниками дополнительных предложений с целью повысить их предпочтительность для Заказчика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лучшие условия исполнения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критериев оценки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Документацией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Преференция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Единым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продукции для нужд Группы РусГидро</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2"/>
          <w:szCs w:val="22"/>
        </w:rPr>
        <w:t xml:space="preserve">налоговый режим «Налог на профессиональный доход»</w:t>
      </w:r>
      <w:r>
        <w:rPr>
          <w:rStyle w:val="1181"/>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173"/>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186224013"/>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 w:name="_Toc186224014"/>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w:t>
        </w:r>
        <w:r>
          <w:rPr>
            <w:rStyle w:val="1197"/>
            <w:rFonts w:ascii="Times New Roman" w:hAnsi="Times New Roman" w:eastAsia="Times New Roman" w:cs="Times New Roman"/>
            <w:sz w:val="22"/>
            <w:szCs w:val="22"/>
          </w:rPr>
          <w:t xml:space="preserve">х</w:t>
        </w:r>
        <w:r>
          <w:rPr>
            <w:rStyle w:val="1197"/>
            <w:rFonts w:ascii="Times New Roman" w:hAnsi="Times New Roman" w:eastAsia="Times New Roman" w:cs="Times New Roman"/>
            <w:sz w:val="22"/>
            <w:szCs w:val="22"/>
          </w:rPr>
          <w:t xml:space="preserve"> требовани</w:t>
        </w:r>
        <w:r>
          <w:rPr>
            <w:rStyle w:val="1197"/>
            <w:rFonts w:ascii="Times New Roman" w:hAnsi="Times New Roman" w:eastAsia="Times New Roman" w:cs="Times New Roman"/>
            <w:sz w:val="22"/>
            <w:szCs w:val="22"/>
          </w:rPr>
          <w:t xml:space="preserve">ях (Приложение № 1)</w:t>
        </w:r>
      </w:hyperlink>
      <w:r>
        <w:rPr>
          <w:rStyle w:val="1197"/>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w:t>
        </w:r>
        <w:r>
          <w:rPr>
            <w:rStyle w:val="1197"/>
            <w:rFonts w:ascii="Times New Roman" w:hAnsi="Times New Roman" w:eastAsia="Times New Roman" w:cs="Times New Roman"/>
            <w:sz w:val="22"/>
            <w:szCs w:val="22"/>
          </w:rPr>
          <w:t xml:space="preserve">роект</w:t>
        </w:r>
        <w:r>
          <w:rPr>
            <w:rStyle w:val="1197"/>
            <w:rFonts w:ascii="Times New Roman" w:hAnsi="Times New Roman" w:eastAsia="Times New Roman" w:cs="Times New Roman"/>
            <w:sz w:val="22"/>
            <w:szCs w:val="22"/>
          </w:rPr>
          <w:t xml:space="preserve">е</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д</w:t>
        </w:r>
        <w:r>
          <w:rPr>
            <w:rStyle w:val="1197"/>
            <w:rFonts w:ascii="Times New Roman" w:hAnsi="Times New Roman" w:eastAsia="Times New Roman" w:cs="Times New Roman"/>
            <w:sz w:val="22"/>
            <w:szCs w:val="22"/>
          </w:rPr>
          <w:t xml:space="preserve">оговора</w:t>
        </w:r>
        <w:r>
          <w:rPr>
            <w:rStyle w:val="1197"/>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186224015"/>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Запрос предложений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pPr>
            <w:r>
              <w:rPr>
                <w:rFonts w:ascii="Times New Roman" w:hAnsi="Times New Roman" w:eastAsia="Times New Roman" w:cs="Times New Roman"/>
                <w:sz w:val="22"/>
                <w:szCs w:val="22"/>
              </w:rPr>
              <w:t xml:space="preserve">Лот № </w:t>
            </w:r>
            <w:r>
              <w:rPr>
                <w:rFonts w:ascii="Times New Roman" w:hAnsi="Times New Roman" w:eastAsia="Times New Roman" w:cs="Times New Roman"/>
                <w:sz w:val="22"/>
                <w:szCs w:val="22"/>
              </w:rPr>
              <w:t xml:space="preserve">41020021-ЭКСП ПРОД-2026-ДГК-ХТЭЦ1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ОКПД2 43.12.11.190. Выполнение работ по разработке и перемещению золы из дополнительной секции буферного золоотвала в буферный золоотвал Хабаровской ТЭЦ-1, г. Хабаровск</w:t>
            </w:r>
            <w:r>
              <w:rPr>
                <w:rFonts w:ascii="Times New Roman" w:hAnsi="Times New Roman" w:eastAsia="Times New Roman" w:cs="Times New Roman"/>
                <w:sz w:val="22"/>
                <w:szCs w:val="22"/>
              </w:rPr>
            </w: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jc w:val="left"/>
              <w:rPr>
                <w:color w:val="0c33f5"/>
                <w:sz w:val="22"/>
                <w:szCs w:val="22"/>
              </w:rPr>
            </w:pPr>
            <w:r>
              <w:rPr>
                <w:sz w:val="22"/>
                <w:szCs w:val="22"/>
              </w:rPr>
              <w:t xml:space="preserve">Электронная площадка</w:t>
            </w:r>
            <w:r>
              <w:rPr>
                <w:sz w:val="22"/>
                <w:szCs w:val="22"/>
              </w:rPr>
              <w:t xml:space="preserve">: </w:t>
            </w:r>
            <w:hyperlink r:id="rId12" w:tooltip="https://rushydro.roseltorg.ru" w:history="1">
              <w:r>
                <w:rPr>
                  <w:rStyle w:val="1183"/>
                  <w:color w:val="0c33f5"/>
                  <w:sz w:val="22"/>
                  <w:szCs w:val="22"/>
                </w:rPr>
                <w:t xml:space="preserve">https://rushydro.roseltorg.ru</w:t>
              </w:r>
            </w:hyperlink>
            <w:r>
              <w:rPr>
                <w:color w:val="0c33f5"/>
                <w:sz w:val="22"/>
                <w:szCs w:val="22"/>
              </w:rPr>
            </w:r>
            <w:r>
              <w:rPr>
                <w:color w:val="0c33f5"/>
                <w:sz w:val="22"/>
                <w:szCs w:val="22"/>
              </w:rPr>
            </w:r>
          </w:p>
          <w:p>
            <w:pPr>
              <w:pStyle w:val="1173"/>
              <w:rPr>
                <w:sz w:val="22"/>
                <w:szCs w:val="22"/>
              </w:rPr>
            </w:pPr>
            <w:r>
              <w:rPr>
                <w:sz w:val="22"/>
                <w:szCs w:val="22"/>
              </w:rPr>
              <w:t xml:space="preserve">Регламент ЭП, в соответствии с которым </w:t>
            </w:r>
            <w:r>
              <w:rPr>
                <w:sz w:val="22"/>
                <w:szCs w:val="22"/>
              </w:rPr>
              <w:t xml:space="preserve">проводится закупка, размещен по адресу:</w:t>
            </w:r>
            <w:r>
              <w:rPr>
                <w:sz w:val="22"/>
                <w:szCs w:val="22"/>
              </w:rPr>
              <w:t xml:space="preserve"> </w:t>
            </w:r>
            <w:r>
              <w:rPr>
                <w:sz w:val="22"/>
                <w:szCs w:val="22"/>
              </w:rPr>
            </w:r>
            <w:r>
              <w:rPr>
                <w:sz w:val="22"/>
                <w:szCs w:val="22"/>
              </w:rPr>
            </w:r>
          </w:p>
          <w:p>
            <w:pPr>
              <w:pStyle w:val="1173"/>
              <w:rPr>
                <w:sz w:val="22"/>
                <w:szCs w:val="22"/>
              </w:rPr>
            </w:pPr>
            <w:r>
              <w:rPr>
                <w:sz w:val="22"/>
                <w:szCs w:val="22"/>
              </w:rPr>
            </w:r>
            <w:hyperlink r:id="rId13" w:tooltip="https://www.roseltorg.ru/personal/rushydro#additional_info" w:anchor="additional_info" w:history="1">
              <w:r>
                <w:rPr>
                  <w:rStyle w:val="1183"/>
                  <w:color w:val="0c33f5"/>
                  <w:sz w:val="22"/>
                  <w:szCs w:val="22"/>
                </w:rPr>
                <w:t xml:space="preserve">https://www.roseltorg.ru/personal/rushydro#additional_info</w:t>
              </w:r>
            </w:hyperlink>
            <w:r>
              <w:rPr>
                <w:sz w:val="22"/>
                <w:szCs w:val="22"/>
              </w:rPr>
            </w:r>
            <w:r>
              <w:rPr>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Адрес электронной почты: </w:t>
            </w:r>
            <w:hyperlink r:id="rId14" w:tooltip="mailto:dgk@dgk.ru" w:history="1">
              <w:r>
                <w:rPr>
                  <w:rStyle w:val="1183"/>
                  <w:color w:val="0c33f5"/>
                  <w:sz w:val="22"/>
                  <w:szCs w:val="22"/>
                  <w:lang w:val="en-US"/>
                </w:rPr>
                <w:t xml:space="preserve">dgk</w:t>
              </w:r>
              <w:r>
                <w:rPr>
                  <w:rStyle w:val="1183"/>
                  <w:color w:val="0c33f5"/>
                  <w:sz w:val="22"/>
                  <w:szCs w:val="22"/>
                </w:rPr>
                <w:t xml:space="preserve">@</w:t>
              </w:r>
              <w:r>
                <w:rPr>
                  <w:rStyle w:val="1183"/>
                  <w:color w:val="0c33f5"/>
                  <w:sz w:val="22"/>
                  <w:szCs w:val="22"/>
                  <w:lang w:val="en-US"/>
                </w:rPr>
                <w:t xml:space="preserve">dgk</w:t>
              </w:r>
              <w:r>
                <w:rPr>
                  <w:rStyle w:val="1183"/>
                  <w:color w:val="0c33f5"/>
                  <w:sz w:val="22"/>
                  <w:szCs w:val="22"/>
                </w:rPr>
                <w:t xml:space="preserve">.</w:t>
              </w:r>
              <w:r>
                <w:rPr>
                  <w:rStyle w:val="1183"/>
                  <w:color w:val="0c33f5"/>
                  <w:sz w:val="22"/>
                  <w:szCs w:val="22"/>
                  <w:lang w:val="en-US"/>
                </w:rPr>
                <w:t xml:space="preserve">ru</w:t>
              </w:r>
            </w:hyperlink>
            <w:r>
              <w:rPr>
                <w:sz w:val="22"/>
                <w:szCs w:val="22"/>
              </w:rPr>
              <w:t xml:space="preserve"> </w:t>
            </w:r>
            <w:r>
              <w:rPr>
                <w:sz w:val="20"/>
                <w:szCs w:val="20"/>
              </w:rPr>
            </w:r>
            <w:r>
              <w:rPr>
                <w:sz w:val="20"/>
                <w:szCs w:val="20"/>
              </w:rPr>
            </w:r>
          </w:p>
          <w:p>
            <w:pPr>
              <w:spacing w:before="0"/>
              <w:widowControl w:val="off"/>
              <w:rPr>
                <w:sz w:val="20"/>
                <w:szCs w:val="20"/>
              </w:rPr>
            </w:pPr>
            <w:r>
              <w:rPr>
                <w:sz w:val="22"/>
                <w:szCs w:val="22"/>
              </w:rPr>
              <w:t xml:space="preserve">Контактный телефон: +7(4212) 26-47-34</w:t>
            </w:r>
            <w:r>
              <w:rPr>
                <w:sz w:val="20"/>
                <w:szCs w:val="20"/>
              </w:rPr>
            </w:r>
            <w:r>
              <w:rPr>
                <w:sz w:val="20"/>
                <w:szCs w:val="20"/>
              </w:rPr>
            </w:r>
          </w:p>
          <w:p>
            <w:pPr>
              <w:ind w:firstLine="0"/>
              <w:spacing w:line="276" w:lineRule="auto"/>
              <w:rPr>
                <w:color w:val="0c33f5"/>
                <w:sz w:val="22"/>
                <w:szCs w:val="22"/>
              </w:rPr>
            </w:pPr>
            <w:r>
              <w:rPr>
                <w:b/>
                <w:bCs/>
                <w:sz w:val="22"/>
                <w:szCs w:val="22"/>
                <w:u w:val="single"/>
              </w:rPr>
              <w:t xml:space="preserve">По вопросам к Техническим требованиям и заключения Договора</w:t>
            </w:r>
            <w:r>
              <w:rPr>
                <w:sz w:val="22"/>
                <w:szCs w:val="22"/>
                <w:u w:val="single"/>
              </w:rPr>
              <w:t xml:space="preserve"> </w:t>
            </w:r>
            <w:r>
              <w:rPr>
                <w:sz w:val="22"/>
                <w:szCs w:val="22"/>
                <w:u w:val="none"/>
              </w:rPr>
              <w:t xml:space="preserve">обращаться</w:t>
            </w:r>
            <w:r>
              <w:rPr>
                <w:b w:val="0"/>
                <w:sz w:val="22"/>
                <w:szCs w:val="22"/>
              </w:rPr>
              <w:t xml:space="preserve"> </w:t>
            </w:r>
            <w:r>
              <w:rPr>
                <w:b w:val="0"/>
                <w:sz w:val="22"/>
                <w:szCs w:val="22"/>
              </w:rPr>
              <w:t xml:space="preserve">к в</w:t>
            </w:r>
            <w:r>
              <w:rPr>
                <w:b w:val="0"/>
                <w:sz w:val="22"/>
                <w:szCs w:val="22"/>
              </w:rPr>
              <w:t xml:space="preserve">едущему инженеру ОППР СП «Хабаровская ТЭЦ-1»</w:t>
            </w:r>
            <w:r>
              <w:rPr>
                <w:b w:val="0"/>
                <w:sz w:val="22"/>
                <w:szCs w:val="22"/>
              </w:rPr>
              <w:t xml:space="preserve"> АО «ДГК»</w:t>
            </w:r>
            <w:r>
              <w:rPr>
                <w:b w:val="0"/>
                <w:sz w:val="22"/>
                <w:szCs w:val="22"/>
              </w:rPr>
              <w:t xml:space="preserve"> </w:t>
            </w:r>
            <w:r>
              <w:rPr>
                <w:b w:val="0"/>
                <w:sz w:val="22"/>
                <w:szCs w:val="22"/>
              </w:rPr>
              <w:t xml:space="preserve">-</w:t>
            </w:r>
            <w:r>
              <w:rPr>
                <w:b w:val="0"/>
                <w:sz w:val="22"/>
                <w:szCs w:val="22"/>
              </w:rPr>
              <w:t xml:space="preserve"> </w:t>
            </w:r>
            <w:r>
              <w:rPr>
                <w:b w:val="0"/>
                <w:sz w:val="22"/>
                <w:szCs w:val="22"/>
              </w:rPr>
              <w:t xml:space="preserve">Коломин Олег Станиславович, тел. +7(4212) 26-51-39</w:t>
            </w:r>
            <w:r>
              <w:rPr>
                <w:b w:val="0"/>
                <w:sz w:val="22"/>
                <w:szCs w:val="22"/>
              </w:rPr>
              <w:t xml:space="preserve">:</w:t>
            </w:r>
            <w:r>
              <w:rPr>
                <w:b w:val="0"/>
                <w:i w:val="0"/>
                <w:iCs w:val="0"/>
                <w:color w:val="0c33f5"/>
                <w:sz w:val="22"/>
                <w:szCs w:val="22"/>
              </w:rPr>
              <w:t xml:space="preserve"> </w:t>
            </w:r>
            <w:r>
              <w:rPr>
                <w:rStyle w:val="1183"/>
                <w:color w:val="0c33f5"/>
                <w:sz w:val="22"/>
                <w:szCs w:val="22"/>
              </w:rPr>
              <w:t xml:space="preserve">kolomin-os@dgk.ru</w:t>
            </w:r>
            <w:r>
              <w:rPr>
                <w:color w:val="0c33f5"/>
                <w:sz w:val="22"/>
                <w:szCs w:val="22"/>
              </w:rPr>
            </w:r>
            <w:r>
              <w:rPr>
                <w:color w:val="0c33f5"/>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w:t>
            </w:r>
            <w:r>
              <w:rPr>
                <w:rFonts w:eastAsia="Calibri"/>
                <w:sz w:val="22"/>
                <w:szCs w:val="22"/>
                <w:lang w:eastAsia="en-US"/>
              </w:rPr>
              <w:t xml:space="preserve">680000, г. Хабаровск, ул. Фрунзе, д. 49</w:t>
            </w:r>
            <w:r>
              <w:rPr>
                <w:sz w:val="20"/>
                <w:szCs w:val="20"/>
              </w:rPr>
            </w:r>
            <w:r>
              <w:rPr>
                <w:sz w:val="20"/>
                <w:szCs w:val="20"/>
              </w:rPr>
            </w:r>
          </w:p>
          <w:p>
            <w:pPr>
              <w:pStyle w:val="1210"/>
              <w:rPr>
                <w:b w:val="0"/>
                <w:szCs w:val="20"/>
              </w:rPr>
            </w:pPr>
            <w:r>
              <w:rPr>
                <w:b w:val="0"/>
                <w:sz w:val="22"/>
                <w:szCs w:val="22"/>
              </w:rPr>
              <w:t xml:space="preserve">Контактный телефон: +7(4212) 26-47-34</w:t>
            </w:r>
            <w:r>
              <w:rPr>
                <w:b w:val="0"/>
                <w:szCs w:val="20"/>
              </w:rPr>
            </w:r>
            <w:r>
              <w:rPr>
                <w:b w:val="0"/>
                <w:szCs w:val="20"/>
              </w:rPr>
            </w:r>
          </w:p>
          <w:p>
            <w:pPr>
              <w:pStyle w:val="1210"/>
              <w:spacing w:after="120"/>
              <w:rPr>
                <w:b/>
                <w:color w:val="0c33f5"/>
                <w:szCs w:val="20"/>
              </w:rPr>
            </w:pPr>
            <w:r>
              <w:rPr>
                <w:b w:val="0"/>
                <w:bCs w:val="0"/>
                <w:sz w:val="22"/>
                <w:szCs w:val="22"/>
              </w:rPr>
              <w:t xml:space="preserve">Адрес электронной почты:</w:t>
            </w:r>
            <w:r>
              <w:rPr>
                <w:sz w:val="22"/>
                <w:szCs w:val="22"/>
              </w:rPr>
              <w:t xml:space="preserve"> </w:t>
            </w:r>
            <w:hyperlink r:id="rId15" w:tooltip="mailto:evstratenko-av@dgk.ru" w:history="1">
              <w:r>
                <w:rPr>
                  <w:rStyle w:val="1183"/>
                  <w:b w:val="0"/>
                  <w:color w:val="0c33f5"/>
                  <w:sz w:val="22"/>
                  <w:szCs w:val="22"/>
                  <w:lang w:val="en-US"/>
                </w:rPr>
                <w:t xml:space="preserve">evstratenko</w:t>
              </w:r>
              <w:r>
                <w:rPr>
                  <w:rStyle w:val="1183"/>
                  <w:b w:val="0"/>
                  <w:color w:val="0c33f5"/>
                  <w:sz w:val="22"/>
                  <w:szCs w:val="22"/>
                </w:rPr>
                <w:t xml:space="preserve">-</w:t>
              </w:r>
              <w:r>
                <w:rPr>
                  <w:rStyle w:val="1183"/>
                  <w:b w:val="0"/>
                  <w:color w:val="0c33f5"/>
                  <w:sz w:val="22"/>
                  <w:szCs w:val="22"/>
                  <w:lang w:val="en-US"/>
                </w:rPr>
                <w:t xml:space="preserve">av</w:t>
              </w:r>
              <w:r>
                <w:rPr>
                  <w:rStyle w:val="1183"/>
                  <w:b w:val="0"/>
                  <w:color w:val="0c33f5"/>
                  <w:sz w:val="22"/>
                  <w:szCs w:val="22"/>
                </w:rPr>
                <w:t xml:space="preserve">@</w:t>
              </w:r>
              <w:r>
                <w:rPr>
                  <w:rStyle w:val="1183"/>
                  <w:b w:val="0"/>
                  <w:color w:val="0c33f5"/>
                  <w:sz w:val="22"/>
                  <w:szCs w:val="22"/>
                  <w:lang w:val="en-US"/>
                </w:rPr>
                <w:t xml:space="preserve">dgk</w:t>
              </w:r>
              <w:r>
                <w:rPr>
                  <w:rStyle w:val="1183"/>
                  <w:b w:val="0"/>
                  <w:color w:val="0c33f5"/>
                  <w:sz w:val="22"/>
                  <w:szCs w:val="22"/>
                </w:rPr>
                <w:t xml:space="preserve">.</w:t>
              </w:r>
              <w:r>
                <w:rPr>
                  <w:rStyle w:val="1183"/>
                  <w:b w:val="0"/>
                  <w:color w:val="0c33f5"/>
                  <w:sz w:val="22"/>
                  <w:szCs w:val="22"/>
                  <w:lang w:val="en-US"/>
                </w:rPr>
                <w:t xml:space="preserve">ru</w:t>
              </w:r>
            </w:hyperlink>
            <w:r>
              <w:rPr>
                <w:b/>
                <w:color w:val="0c33f5"/>
                <w:szCs w:val="20"/>
              </w:rPr>
            </w:r>
            <w:r>
              <w:rPr>
                <w:b/>
                <w:color w:val="0c33f5"/>
                <w:szCs w:val="20"/>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10"/>
              <w:rPr>
                <w:b w:val="0"/>
                <w:szCs w:val="20"/>
              </w:rPr>
            </w:pPr>
            <w:r>
              <w:rPr>
                <w:b w:val="0"/>
                <w:sz w:val="22"/>
                <w:szCs w:val="22"/>
              </w:rPr>
              <w:t xml:space="preserve">Контактное лицо (Ф.И.О.): Евстратенко Анна Валериевна </w:t>
            </w:r>
            <w:r>
              <w:rPr>
                <w:b w:val="0"/>
                <w:szCs w:val="20"/>
              </w:rPr>
            </w:r>
            <w:r>
              <w:rPr>
                <w:b w:val="0"/>
                <w:szCs w:val="20"/>
              </w:rPr>
            </w:r>
          </w:p>
          <w:p>
            <w:pPr>
              <w:pStyle w:val="1210"/>
              <w:rPr>
                <w:b w:val="0"/>
                <w:szCs w:val="20"/>
              </w:rPr>
            </w:pPr>
            <w:r>
              <w:rPr>
                <w:b w:val="0"/>
                <w:sz w:val="22"/>
                <w:szCs w:val="22"/>
              </w:rPr>
              <w:t xml:space="preserve">Контактный телефон: +7(4212) 26-47-34</w:t>
            </w:r>
            <w:r>
              <w:rPr>
                <w:b w:val="0"/>
                <w:szCs w:val="20"/>
              </w:rPr>
            </w:r>
            <w:r>
              <w:rPr>
                <w:b w:val="0"/>
                <w:szCs w:val="20"/>
              </w:rPr>
            </w:r>
          </w:p>
          <w:p>
            <w:pPr>
              <w:pStyle w:val="1210"/>
              <w:spacing w:after="120"/>
              <w:rPr>
                <w:i w:val="0"/>
                <w:color w:val="0c33f5"/>
                <w:szCs w:val="20"/>
                <w:shd w:val="clear" w:color="auto" w:fill="auto"/>
              </w:rPr>
            </w:pPr>
            <w:r>
              <w:rPr>
                <w:b w:val="0"/>
                <w:sz w:val="22"/>
                <w:szCs w:val="22"/>
              </w:rPr>
              <w:t xml:space="preserve">Адрес электронной почты: </w:t>
            </w:r>
            <w:hyperlink r:id="rId16" w:tooltip="mailto:evstratenko-av@dgk.ru" w:history="1">
              <w:r>
                <w:rPr>
                  <w:rStyle w:val="1183"/>
                  <w:b w:val="0"/>
                  <w:color w:val="0c33f5"/>
                  <w:sz w:val="22"/>
                  <w:szCs w:val="22"/>
                  <w:lang w:val="en-US"/>
                </w:rPr>
                <w:t xml:space="preserve">evstratenko</w:t>
              </w:r>
              <w:r>
                <w:rPr>
                  <w:rStyle w:val="1183"/>
                  <w:b w:val="0"/>
                  <w:color w:val="0c33f5"/>
                  <w:sz w:val="22"/>
                  <w:szCs w:val="22"/>
                </w:rPr>
                <w:t xml:space="preserve">-</w:t>
              </w:r>
              <w:r>
                <w:rPr>
                  <w:rStyle w:val="1183"/>
                  <w:b w:val="0"/>
                  <w:color w:val="0c33f5"/>
                  <w:sz w:val="22"/>
                  <w:szCs w:val="22"/>
                  <w:lang w:val="en-US"/>
                </w:rPr>
                <w:t xml:space="preserve">av</w:t>
              </w:r>
              <w:r>
                <w:rPr>
                  <w:rStyle w:val="1183"/>
                  <w:b w:val="0"/>
                  <w:color w:val="0c33f5"/>
                  <w:sz w:val="22"/>
                  <w:szCs w:val="22"/>
                </w:rPr>
                <w:t xml:space="preserve">@</w:t>
              </w:r>
              <w:r>
                <w:rPr>
                  <w:rStyle w:val="1183"/>
                  <w:b w:val="0"/>
                  <w:color w:val="0c33f5"/>
                  <w:sz w:val="22"/>
                  <w:szCs w:val="22"/>
                  <w:lang w:val="en-US"/>
                </w:rPr>
                <w:t xml:space="preserve">dgk</w:t>
              </w:r>
              <w:r>
                <w:rPr>
                  <w:rStyle w:val="1183"/>
                  <w:b w:val="0"/>
                  <w:color w:val="0c33f5"/>
                  <w:sz w:val="22"/>
                  <w:szCs w:val="22"/>
                </w:rPr>
                <w:t xml:space="preserve">.</w:t>
              </w:r>
              <w:r>
                <w:rPr>
                  <w:rStyle w:val="1183"/>
                  <w:b w:val="0"/>
                  <w:color w:val="0c33f5"/>
                  <w:sz w:val="22"/>
                  <w:szCs w:val="22"/>
                  <w:lang w:val="en-US"/>
                </w:rPr>
                <w:t xml:space="preserve">ru</w:t>
              </w:r>
            </w:hyperlink>
            <w:r>
              <w:rPr>
                <w:i w:val="0"/>
                <w:color w:val="0c33f5"/>
                <w:szCs w:val="20"/>
                <w:shd w:val="clear" w:color="auto" w:fill="auto"/>
              </w:rPr>
            </w:r>
            <w:r>
              <w:rPr>
                <w:i w:val="0"/>
                <w:color w:val="0c33f5"/>
                <w:szCs w:val="20"/>
                <w:shd w:val="clear" w:color="auto" w:fill="auto"/>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t xml:space="preserve"> апреля 2026 </w:t>
            </w:r>
            <w:r>
              <w:rPr>
                <w:rFonts w:ascii="Times New Roman" w:hAnsi="Times New Roman" w:eastAsia="Times New Roman" w:cs="Times New Roman"/>
                <w:sz w:val="22"/>
                <w:szCs w:val="22"/>
              </w:rPr>
              <w:t xml:space="preserve">г.</w:t>
            </w:r>
            <w:r>
              <w:rPr>
                <w:rFonts w:ascii="Times New Roman" w:hAnsi="Times New Roman" w:cs="Times New Roman"/>
                <w:sz w:val="22"/>
                <w:szCs w:val="22"/>
              </w:rPr>
            </w:r>
            <w:r>
              <w:rPr>
                <w:rFonts w:ascii="Times New Roman" w:hAnsi="Times New Roman" w:cs="Times New Roman"/>
                <w:sz w:val="22"/>
                <w:szCs w:val="22"/>
              </w:rPr>
            </w:r>
          </w:p>
          <w:p>
            <w:pPr>
              <w:pStyle w:val="1173"/>
              <w:rPr>
                <w:rStyle w:val="1178"/>
                <w:rFonts w:ascii="Times New Roman" w:hAnsi="Times New Roman" w:cs="Times New Roman"/>
                <w:sz w:val="22"/>
                <w:szCs w:val="22"/>
              </w:rPr>
            </w:pPr>
            <w:r>
              <w:rPr>
                <w:rStyle w:val="1178"/>
                <w:rFonts w:ascii="Times New Roman" w:hAnsi="Times New Roman" w:eastAsia="Times New Roman" w:cs="Times New Roman"/>
                <w:sz w:val="22"/>
                <w:szCs w:val="22"/>
              </w:rPr>
            </w:r>
            <w:r>
              <w:rPr>
                <w:rStyle w:val="1178"/>
                <w:rFonts w:ascii="Times New Roman" w:hAnsi="Times New Roman" w:cs="Times New Roman"/>
                <w:sz w:val="22"/>
                <w:szCs w:val="22"/>
              </w:rPr>
            </w:r>
            <w:r>
              <w:rPr>
                <w:rStyle w:val="1178"/>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НМЦ составляет 12 158 609,00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руб., без учета НДС.</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197"/>
                  <w:rFonts w:ascii="Times New Roman" w:hAnsi="Times New Roman" w:eastAsia="Times New Roman" w:cs="Times New Roman"/>
                  <w:sz w:val="22"/>
                  <w:szCs w:val="22"/>
                </w:rPr>
                <w:t xml:space="preserve">Приложени</w:t>
              </w:r>
              <w:r>
                <w:rPr>
                  <w:rStyle w:val="1197"/>
                  <w:rFonts w:ascii="Times New Roman" w:hAnsi="Times New Roman" w:eastAsia="Times New Roman" w:cs="Times New Roman"/>
                  <w:sz w:val="22"/>
                  <w:szCs w:val="22"/>
                </w:rPr>
                <w:t xml:space="preserve">и</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b/>
                <w:bCs/>
              </w:rPr>
            </w:pPr>
            <w:r>
              <w:rPr>
                <w:rFonts w:ascii="Times New Roman" w:hAnsi="Times New Roman" w:eastAsia="Times New Roman" w:cs="Times New Roman"/>
                <w:b/>
                <w:bCs/>
                <w:sz w:val="22"/>
                <w:szCs w:val="22"/>
                <w:highlight w:val="white"/>
              </w:rPr>
              <w:t xml:space="preserve">Требуется.</w:t>
            </w:r>
            <w:r>
              <w:rPr>
                <w:b/>
                <w:bCs/>
              </w:rPr>
            </w:r>
            <w:r>
              <w:rPr>
                <w:b/>
                <w:bCs/>
              </w:rPr>
            </w:r>
          </w:p>
          <w:p>
            <w:pPr>
              <w:pStyle w:val="1173"/>
            </w:pPr>
            <w:r>
              <w:rPr>
                <w:rFonts w:ascii="Times New Roman" w:hAnsi="Times New Roman" w:eastAsia="Times New Roman" w:cs="Times New Roman"/>
                <w:b w:val="0"/>
                <w:bCs w:val="0"/>
                <w:sz w:val="22"/>
                <w:szCs w:val="22"/>
                <w:highlight w:val="white"/>
              </w:rPr>
              <w:t xml:space="preserve">Размер обеспечения заявок: 348 692,00 (триста сорок восемь тысяч шестьсот девяносто два) рубля 00 копеек, НДС не облагается.</w:t>
            </w:r>
            <w:r>
              <w:rPr>
                <w:rFonts w:ascii="Times New Roman" w:hAnsi="Times New Roman" w:eastAsia="Times New Roman" w:cs="Times New Roman"/>
                <w:b w:val="0"/>
                <w:bCs w:val="0"/>
                <w:sz w:val="22"/>
                <w:szCs w:val="22"/>
                <w:highlight w:val="white"/>
              </w:rPr>
            </w:r>
            <w:r/>
          </w:p>
          <w:p>
            <w:pPr>
              <w:pStyle w:val="1173"/>
            </w:pPr>
            <w:r>
              <w:rPr>
                <w:rFonts w:ascii="Times New Roman" w:hAnsi="Times New Roman" w:eastAsia="Times New Roman" w:cs="Times New Roman"/>
                <w:b w:val="0"/>
                <w:bCs w:val="0"/>
                <w:sz w:val="22"/>
                <w:szCs w:val="22"/>
                <w:highlight w:val="white"/>
              </w:rPr>
            </w:r>
            <w:r>
              <w:rPr>
                <w:rFonts w:ascii="Times New Roman" w:hAnsi="Times New Roman" w:eastAsia="Times New Roman" w:cs="Times New Roman"/>
                <w:b w:val="0"/>
                <w:bCs w:val="0"/>
                <w:sz w:val="22"/>
                <w:szCs w:val="22"/>
                <w:highlight w:val="white"/>
              </w:rPr>
            </w:r>
            <w:r/>
          </w:p>
          <w:p>
            <w:pPr>
              <w:pStyle w:val="1173"/>
            </w:pPr>
            <w:r>
              <w:rPr>
                <w:rFonts w:ascii="Times New Roman" w:hAnsi="Times New Roman" w:eastAsia="Times New Roman" w:cs="Times New Roman"/>
                <w:b w:val="0"/>
                <w:bCs w:val="0"/>
                <w:sz w:val="22"/>
                <w:szCs w:val="22"/>
                <w:highlight w:val="white"/>
              </w:rPr>
              <w:t xml:space="preserve">Форма обеспечения заявок: внесение денежных средств на индивидуальный счет, открытый Участнику Оператором ЭП в соответствии с Регламентом ЭП.</w:t>
            </w:r>
            <w:r>
              <w:rPr>
                <w:rFonts w:ascii="Times New Roman" w:hAnsi="Times New Roman" w:eastAsia="Times New Roman" w:cs="Times New Roman"/>
                <w:b w:val="0"/>
                <w:bCs w:val="0"/>
                <w:sz w:val="22"/>
                <w:szCs w:val="22"/>
                <w:highlight w:val="white"/>
              </w:rPr>
            </w:r>
            <w:r/>
          </w:p>
          <w:p>
            <w:pPr>
              <w:pStyle w:val="1173"/>
              <w:rPr>
                <w:b w:val="0"/>
                <w:bCs w:val="0"/>
                <w:highlight w:val="white"/>
              </w:rPr>
            </w:pPr>
            <w:r>
              <w:rPr>
                <w:rFonts w:ascii="Times New Roman" w:hAnsi="Times New Roman" w:eastAsia="Times New Roman" w:cs="Times New Roman"/>
                <w:b w:val="0"/>
                <w:bCs w:val="0"/>
                <w:sz w:val="22"/>
                <w:szCs w:val="22"/>
                <w:highlight w:val="white"/>
              </w:rPr>
              <w:t xml:space="preserve">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1.2.18.</w:t>
            </w:r>
            <w:r>
              <w:rPr>
                <w:b w:val="0"/>
                <w:bCs w:val="0"/>
                <w:highlight w:val="white"/>
              </w:rPr>
            </w:r>
            <w:r>
              <w:rPr>
                <w:b w:val="0"/>
                <w:bCs w:val="0"/>
                <w:highlight w:val="white"/>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огласие (декларация) Участника на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направления Участником собственных подробных предложений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«10»</w:t>
            </w:r>
            <w:r>
              <w:rPr>
                <w:rFonts w:ascii="Times New Roman" w:hAnsi="Times New Roman" w:eastAsia="Times New Roman" w:cs="Times New Roman"/>
                <w:sz w:val="22"/>
                <w:szCs w:val="22"/>
              </w:rPr>
              <w:t xml:space="preserve"> апреля 2026</w:t>
            </w:r>
            <w:r>
              <w:rPr>
                <w:rFonts w:ascii="Times New Roman" w:hAnsi="Times New Roman" w:eastAsia="Times New Roman" w:cs="Times New Roman"/>
                <w:sz w:val="22"/>
                <w:szCs w:val="22"/>
              </w:rPr>
              <w:t xml:space="preserve"> г.</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t xml:space="preserve"> апреля 2026</w:t>
            </w:r>
            <w:r>
              <w:rPr>
                <w:rFonts w:ascii="Times New Roman" w:hAnsi="Times New Roman" w:eastAsia="Times New Roman" w:cs="Times New Roman"/>
                <w:sz w:val="22"/>
                <w:szCs w:val="22"/>
              </w:rPr>
              <w:t xml:space="preserve"> г. в 15 ч. 00 мин.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«27» апреля 2026 г. в 15 ч. 00 мин.</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w:t>
            </w:r>
            <w:r>
              <w:rPr>
                <w:rFonts w:ascii="Times New Roman" w:hAnsi="Times New Roman" w:eastAsia="Times New Roman" w:cs="Times New Roman"/>
                <w:sz w:val="22"/>
                <w:szCs w:val="22"/>
              </w:rPr>
              <w:t xml:space="preserve">окончания срока подачи заявок,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«12» мая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проведения процедуры переторжки: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«12» мая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6047"/>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Преференция продукции, изготовленной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алюминиевых полуфабрикатов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предоставляется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1769"/>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содержит лучшие условия исполнения Договора на основании установленных критериев оценки согласно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366606"/>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533374"/>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5).</w:t>
            </w: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будет заключаться в электронной форме посредством информационной системы электронного документооборота https://diadoc.kontur.ru, то Победителю будет необходимо заключить соглашение с оператором информационной системы электронного документооборо</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w:t>
            </w:r>
            <w:r>
              <w:rPr>
                <w:rFonts w:ascii="Times New Roman" w:hAnsi="Times New Roman" w:eastAsia="Times New Roman" w:cs="Times New Roman"/>
                <w:sz w:val="22"/>
                <w:szCs w:val="22"/>
              </w:rPr>
              <w:t xml:space="preserve">чиком.</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6813"/>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keepNext/>
              <w:rPr>
                <w:rStyle w:val="1183"/>
                <w:rFonts w:ascii="Times New Roman" w:hAnsi="Times New Roman" w:eastAsia="Times New Roman" w:cs="Times New Roman"/>
                <w:color w:val="000000" w:themeColor="text1"/>
                <w:sz w:val="22"/>
                <w:szCs w:val="22"/>
                <w:highlight w:val="none"/>
              </w:rPr>
            </w:pPr>
            <w:r>
              <w:rPr>
                <w:rFonts w:ascii="Times New Roman" w:hAnsi="Times New Roman" w:eastAsia="Times New Roman" w:cs="Times New Roman"/>
                <w:sz w:val="22"/>
                <w:szCs w:val="22"/>
              </w:rPr>
              <w:t xml:space="preserve">Контактное лицо (Ф.И.О.): </w:t>
            </w:r>
            <w:r>
              <w:rPr>
                <w:rFonts w:ascii="Times New Roman" w:hAnsi="Times New Roman" w:eastAsia="Times New Roman" w:cs="Times New Roman"/>
                <w:sz w:val="22"/>
                <w:szCs w:val="22"/>
              </w:rPr>
              <w:t xml:space="preserve">Коломин Олег Станиславович, тел. +7(4212) 26-51-39</w:t>
            </w:r>
            <w:r>
              <w:rPr>
                <w:rStyle w:val="1183"/>
                <w:rFonts w:ascii="Times New Roman" w:hAnsi="Times New Roman" w:eastAsia="Times New Roman" w:cs="Times New Roman"/>
                <w:color w:val="000000" w:themeColor="text1"/>
                <w:sz w:val="22"/>
                <w:szCs w:val="22"/>
                <w:highlight w:val="none"/>
              </w:rPr>
            </w:r>
            <w:r>
              <w:rPr>
                <w:rStyle w:val="1183"/>
                <w:rFonts w:ascii="Times New Roman" w:hAnsi="Times New Roman" w:eastAsia="Times New Roman" w:cs="Times New Roman"/>
                <w:color w:val="000000" w:themeColor="text1"/>
                <w:sz w:val="22"/>
                <w:szCs w:val="22"/>
                <w:highlight w:val="none"/>
              </w:rPr>
            </w:r>
          </w:p>
          <w:p>
            <w:pPr>
              <w:pStyle w:val="1173"/>
              <w:keepNext/>
              <w:rPr>
                <w:rFonts w:ascii="Times New Roman" w:hAnsi="Times New Roman" w:cs="Times New Roman"/>
                <w:sz w:val="22"/>
                <w:szCs w:val="22"/>
              </w:rPr>
            </w:pPr>
            <w:r>
              <w:rPr>
                <w:rFonts w:ascii="Times New Roman" w:hAnsi="Times New Roman" w:eastAsia="Times New Roman" w:cs="Times New Roman"/>
                <w:sz w:val="22"/>
                <w:szCs w:val="22"/>
              </w:rPr>
              <w:t xml:space="preserve">Почтовый адрес:</w:t>
            </w:r>
            <w:r>
              <w:rPr>
                <w:rFonts w:ascii="Times New Roman" w:hAnsi="Times New Roman" w:eastAsia="Times New Roman" w:cs="Times New Roman"/>
                <w:sz w:val="22"/>
                <w:szCs w:val="22"/>
              </w:rPr>
              <w:t xml:space="preserve">680015, Российская Федерация, г. Хабаровск, ул. Узловая, 15а.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Отсутствуют.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169"/>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173"/>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r>
      <w:bookmarkStart w:id="38" w:name="_Toc186224016"/>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eastAsia="Times New Roman" w:cs="Times New Roman"/>
          <w:sz w:val="22"/>
          <w:szCs w:val="22"/>
        </w:rPr>
      </w:r>
      <w:bookmarkEnd w:id="38"/>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9" w:name="_Toc186224017"/>
      <w:r>
        <w:rPr>
          <w:rFonts w:ascii="Times New Roman" w:hAnsi="Times New Roman" w:eastAsia="Times New Roman" w:cs="Times New Roman"/>
          <w:sz w:val="22"/>
          <w:szCs w:val="22"/>
        </w:rPr>
        <w:t xml:space="preserve">Общие сведения о закупке</w:t>
      </w:r>
      <w:bookmarkEnd w:id="3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0" w:name="_Toc186224018"/>
      <w:r>
        <w:rPr>
          <w:rFonts w:ascii="Times New Roman" w:hAnsi="Times New Roman" w:eastAsia="Times New Roman" w:cs="Times New Roman"/>
          <w:sz w:val="22"/>
          <w:szCs w:val="22"/>
        </w:rPr>
        <w:t xml:space="preserve">Правовой статус документов</w:t>
      </w:r>
      <w:bookmarkEnd w:id="4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r>
      <w:bookmarkStart w:id="43" w:name="_Toc186224019"/>
      <w:r>
        <w:rPr>
          <w:rFonts w:ascii="Times New Roman" w:hAnsi="Times New Roman" w:eastAsia="Times New Roman" w:cs="Times New Roman"/>
          <w:sz w:val="22"/>
          <w:szCs w:val="22"/>
        </w:rPr>
        <w:t xml:space="preserve">Обжалование</w:t>
      </w:r>
      <w:bookmarkEnd w:id="42"/>
      <w:r>
        <w:rPr>
          <w:rFonts w:ascii="Times New Roman" w:hAnsi="Times New Roman" w:eastAsia="Times New Roman" w:cs="Times New Roman"/>
          <w:sz w:val="22"/>
          <w:szCs w:val="22"/>
        </w:rPr>
      </w:r>
      <w:bookmarkEnd w:id="43"/>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обязать</w:t>
      </w:r>
      <w:r>
        <w:rPr>
          <w:rFonts w:ascii="Times New Roman" w:hAnsi="Times New Roman" w:eastAsia="Times New Roman" w:cs="Times New Roman"/>
          <w:sz w:val="22"/>
          <w:szCs w:val="22"/>
        </w:rPr>
        <w:t xml:space="preserve"> Заказчика, Организатора,</w:t>
      </w:r>
      <w:r>
        <w:rPr>
          <w:rFonts w:ascii="Times New Roman" w:hAnsi="Times New Roman" w:eastAsia="Times New Roman" w:cs="Times New Roman"/>
          <w:sz w:val="22"/>
          <w:szCs w:val="22"/>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r>
      <w:bookmarkStart w:id="45" w:name="_Toc186224020"/>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eastAsia="Times New Roman" w:cs="Times New Roman"/>
          <w:sz w:val="22"/>
          <w:szCs w:val="22"/>
        </w:rPr>
      </w:r>
      <w:bookmarkEnd w:id="4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8" w:name="_Toc186224021"/>
      <w:r>
        <w:rPr>
          <w:rFonts w:ascii="Times New Roman" w:hAnsi="Times New Roman" w:eastAsia="Times New Roman" w:cs="Times New Roman"/>
          <w:sz w:val="22"/>
          <w:szCs w:val="22"/>
        </w:rPr>
        <w:t xml:space="preserve">Прочие положения</w:t>
      </w:r>
      <w:bookmarkEnd w:id="4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r>
      <w:bookmarkStart w:id="51" w:name="_Toc186224022"/>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eastAsia="Times New Roman" w:cs="Times New Roman"/>
          <w:sz w:val="22"/>
          <w:szCs w:val="22"/>
        </w:rPr>
      </w:r>
      <w:bookmarkEnd w:id="51"/>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r>
      <w:bookmarkStart w:id="53" w:name="_Toc186224023"/>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eastAsia="Times New Roman" w:cs="Times New Roman"/>
          <w:sz w:val="22"/>
          <w:szCs w:val="22"/>
        </w:rPr>
      </w:r>
      <w:bookmarkEnd w:id="53"/>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r>
      <w:bookmarkStart w:id="62" w:name="_Toc186224024"/>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eastAsia="Times New Roman" w:cs="Times New Roman"/>
          <w:sz w:val="22"/>
          <w:szCs w:val="22"/>
        </w:rPr>
      </w:r>
      <w:bookmarkEnd w:id="62"/>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w:t>
      </w:r>
      <w:r>
        <w:rPr>
          <w:rFonts w:ascii="Times New Roman" w:hAnsi="Times New Roman" w:eastAsia="Times New Roman" w:cs="Times New Roman"/>
          <w:sz w:val="22"/>
          <w:szCs w:val="22"/>
        </w:rPr>
        <w:t xml:space="preserve">и оценке </w:t>
      </w:r>
      <w:r>
        <w:rPr>
          <w:rFonts w:ascii="Times New Roman" w:hAnsi="Times New Roman" w:eastAsia="Times New Roman" w:cs="Times New Roman"/>
          <w:sz w:val="22"/>
          <w:szCs w:val="22"/>
        </w:rPr>
        <w:t xml:space="preserve">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6"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6"/>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5"/>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w:t>
        </w:r>
        <w:r>
          <w:rPr>
            <w:rStyle w:val="1197"/>
            <w:rFonts w:ascii="Times New Roman" w:hAnsi="Times New Roman" w:eastAsia="Times New Roman" w:cs="Times New Roman"/>
            <w:sz w:val="22"/>
            <w:szCs w:val="22"/>
          </w:rPr>
          <w:t xml:space="preserve">е</w:t>
        </w:r>
        <w:r>
          <w:rPr>
            <w:rStyle w:val="1197"/>
            <w:rFonts w:ascii="Times New Roman" w:hAnsi="Times New Roman" w:eastAsia="Times New Roman" w:cs="Times New Roman"/>
            <w:sz w:val="22"/>
            <w:szCs w:val="22"/>
          </w:rPr>
          <w:t xml:space="preserve"> № 3</w:t>
        </w:r>
      </w:hyperlink>
      <w:r>
        <w:rPr>
          <w:rStyle w:val="1197"/>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68" w:name="_Ref125361702"/>
      <w:r>
        <w:rPr>
          <w:rFonts w:ascii="Times New Roman" w:hAnsi="Times New Roman" w:eastAsia="Times New Roman" w:cs="Times New Roman"/>
          <w:sz w:val="22"/>
          <w:szCs w:val="22"/>
        </w:rPr>
      </w:r>
      <w:bookmarkStart w:id="69" w:name="_Toc186224025"/>
      <w:r>
        <w:rPr>
          <w:rFonts w:ascii="Times New Roman" w:hAnsi="Times New Roman" w:eastAsia="Times New Roman" w:cs="Times New Roman"/>
          <w:sz w:val="22"/>
          <w:szCs w:val="22"/>
        </w:rPr>
        <w:t xml:space="preserve">Генеральные подрядчики</w:t>
      </w:r>
      <w:bookmarkEnd w:id="68"/>
      <w:r>
        <w:rPr>
          <w:rFonts w:ascii="Times New Roman" w:hAnsi="Times New Roman" w:eastAsia="Times New Roman" w:cs="Times New Roman"/>
          <w:sz w:val="22"/>
          <w:szCs w:val="22"/>
        </w:rPr>
      </w:r>
      <w:bookmarkEnd w:id="6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70"/>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оценке и сопоставлении заявки Генерального подрядчика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квалификационным критериям (</w:t>
      </w:r>
      <w:r>
        <w:rPr>
          <w:rFonts w:ascii="Times New Roman" w:hAnsi="Times New Roman" w:eastAsia="Times New Roman" w:cs="Times New Roman"/>
          <w:sz w:val="22"/>
          <w:szCs w:val="22"/>
        </w:rPr>
        <w:t xml:space="preserve">если они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w:t>
      </w:r>
      <w:r>
        <w:rPr>
          <w:rFonts w:ascii="Times New Roman" w:hAnsi="Times New Roman" w:eastAsia="Times New Roman" w:cs="Times New Roman"/>
          <w:sz w:val="22"/>
          <w:szCs w:val="22"/>
        </w:rPr>
        <w:t xml:space="preserve">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Порядке и критериях оценки и сопоставления заявок (Приложение № </w:t>
        </w:r>
        <w:r>
          <w:rPr>
            <w:rStyle w:val="1197"/>
            <w:rFonts w:ascii="Times New Roman" w:hAnsi="Times New Roman" w:eastAsia="Times New Roman" w:cs="Times New Roman"/>
            <w:sz w:val="22"/>
            <w:szCs w:val="22"/>
          </w:rPr>
          <w:t xml:space="preserve">8</w:t>
        </w:r>
        <w:r>
          <w:rPr>
            <w:rStyle w:val="1197"/>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Генерального подрядчика и субподрядчиков суммируются (</w:t>
      </w:r>
      <w:r>
        <w:rPr>
          <w:rFonts w:ascii="Times New Roman" w:hAnsi="Times New Roman" w:eastAsia="Times New Roman" w:cs="Times New Roman"/>
          <w:sz w:val="22"/>
          <w:szCs w:val="22"/>
        </w:rPr>
        <w:t xml:space="preserve">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71"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1"/>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и оценке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72" w:name="_Ref127524203"/>
      <w:r>
        <w:rPr>
          <w:rFonts w:ascii="Times New Roman" w:hAnsi="Times New Roman" w:eastAsia="Times New Roman" w:cs="Times New Roman"/>
          <w:sz w:val="22"/>
          <w:szCs w:val="22"/>
        </w:rPr>
      </w:r>
      <w:bookmarkStart w:id="73" w:name="_Toc186224026"/>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2"/>
      <w:r>
        <w:rPr>
          <w:rFonts w:ascii="Times New Roman" w:hAnsi="Times New Roman" w:eastAsia="Times New Roman" w:cs="Times New Roman"/>
          <w:sz w:val="22"/>
          <w:szCs w:val="22"/>
        </w:rPr>
      </w:r>
      <w:bookmarkEnd w:id="73"/>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Требований к</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Требований к</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и оценки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4"/>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75" w:name="_Ref125361211"/>
      <w:r>
        <w:rPr>
          <w:rFonts w:ascii="Times New Roman" w:hAnsi="Times New Roman" w:eastAsia="Times New Roman" w:cs="Times New Roman"/>
          <w:sz w:val="22"/>
          <w:szCs w:val="22"/>
        </w:rPr>
      </w:r>
      <w:bookmarkStart w:id="76" w:name="_Ref125367098"/>
      <w:r>
        <w:rPr>
          <w:rFonts w:ascii="Times New Roman" w:hAnsi="Times New Roman" w:eastAsia="Times New Roman" w:cs="Times New Roman"/>
          <w:sz w:val="22"/>
          <w:szCs w:val="22"/>
        </w:rPr>
      </w:r>
      <w:bookmarkStart w:id="77" w:name="_Ref125367107"/>
      <w:r>
        <w:rPr>
          <w:rFonts w:ascii="Times New Roman" w:hAnsi="Times New Roman" w:eastAsia="Times New Roman" w:cs="Times New Roman"/>
          <w:sz w:val="22"/>
          <w:szCs w:val="22"/>
        </w:rPr>
      </w:r>
      <w:bookmarkStart w:id="78" w:name="_Ref125367974"/>
      <w:r>
        <w:rPr>
          <w:rFonts w:ascii="Times New Roman" w:hAnsi="Times New Roman" w:eastAsia="Times New Roman" w:cs="Times New Roman"/>
          <w:sz w:val="22"/>
          <w:szCs w:val="22"/>
        </w:rPr>
      </w:r>
      <w:bookmarkStart w:id="79" w:name="_Toc186224027"/>
      <w:r>
        <w:rPr>
          <w:rFonts w:ascii="Times New Roman" w:hAnsi="Times New Roman" w:eastAsia="Times New Roman" w:cs="Times New Roman"/>
          <w:sz w:val="22"/>
          <w:szCs w:val="22"/>
        </w:rPr>
        <w:t xml:space="preserve">Порядок проведения закупки</w:t>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eastAsia="Times New Roman" w:cs="Times New Roman"/>
          <w:sz w:val="22"/>
          <w:szCs w:val="22"/>
        </w:rPr>
      </w:r>
      <w:bookmarkEnd w:id="79"/>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80" w:name="_Ref126141932"/>
      <w:r>
        <w:rPr>
          <w:rFonts w:ascii="Times New Roman" w:hAnsi="Times New Roman" w:eastAsia="Times New Roman" w:cs="Times New Roman"/>
          <w:sz w:val="22"/>
          <w:szCs w:val="22"/>
        </w:rPr>
      </w:r>
      <w:bookmarkStart w:id="81" w:name="_Toc186224028"/>
      <w:r>
        <w:rPr>
          <w:rFonts w:ascii="Times New Roman" w:hAnsi="Times New Roman" w:eastAsia="Times New Roman" w:cs="Times New Roman"/>
          <w:sz w:val="22"/>
          <w:szCs w:val="22"/>
        </w:rPr>
        <w:t xml:space="preserve">Общий порядок проведения закупки</w:t>
      </w:r>
      <w:bookmarkEnd w:id="80"/>
      <w:r>
        <w:rPr>
          <w:rFonts w:ascii="Times New Roman" w:hAnsi="Times New Roman" w:eastAsia="Times New Roman" w:cs="Times New Roman"/>
          <w:sz w:val="22"/>
          <w:szCs w:val="22"/>
        </w:rPr>
      </w:r>
      <w:bookmarkEnd w:id="81"/>
      <w:r>
        <w:rPr>
          <w:rFonts w:ascii="Times New Roman" w:hAnsi="Times New Roman" w:cs="Times New Roman"/>
          <w:sz w:val="22"/>
          <w:szCs w:val="22"/>
        </w:rPr>
      </w:r>
      <w:r>
        <w:rPr>
          <w:rFonts w:ascii="Times New Roman" w:hAnsi="Times New Roman" w:cs="Times New Roman"/>
          <w:sz w:val="22"/>
          <w:szCs w:val="22"/>
        </w:rPr>
      </w:r>
    </w:p>
    <w:p>
      <w:pPr>
        <w:pStyle w:val="1169"/>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194"/>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7"/>
            <w:tcBorders>
              <w:right w:val="none" w:color="000000" w:sz="4" w:space="0"/>
            </w:tcBorders>
            <w:tcW w:w="13573" w:type="dxa"/>
            <w:textDirection w:val="lrTb"/>
            <w:noWrap w:val="false"/>
          </w:tcPr>
          <w:p>
            <w:pPr>
              <w:pStyle w:val="1173"/>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проведения закупки</w:t>
            </w:r>
            <w:r>
              <w:rPr>
                <w:rFonts w:ascii="Times New Roman" w:hAnsi="Times New Roman" w:eastAsia="Times New Roman" w:cs="Times New Roman"/>
                <w:bCs/>
                <w:sz w:val="22"/>
                <w:szCs w:val="22"/>
              </w:rPr>
              <w:t xml:space="preserve"> (отмена закупки)</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6"/>
            <w:tcW w:w="11342"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Align w:val="center"/>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Переторжка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_Ref127536359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2219" w:type="dxa"/>
            <w:vAlign w:val="center"/>
            <w:vMerge w:val="restart"/>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Оценка и сопоставлени</w:t>
            </w:r>
            <w:r>
              <w:rPr>
                <w:rFonts w:ascii="Times New Roman" w:hAnsi="Times New Roman" w:eastAsia="Times New Roman" w:cs="Times New Roman"/>
                <w:bCs/>
                <w:sz w:val="22"/>
                <w:szCs w:val="22"/>
              </w:rPr>
              <w:t xml:space="preserve">е</w:t>
            </w:r>
            <w:r>
              <w:rPr>
                <w:rFonts w:ascii="Times New Roman" w:hAnsi="Times New Roman" w:eastAsia="Times New Roman" w:cs="Times New Roman"/>
                <w:bCs/>
                <w:sz w:val="22"/>
                <w:szCs w:val="22"/>
              </w:rPr>
              <w:t xml:space="preserve">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3"/>
            <w:tcW w:w="4448"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9075"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7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73"/>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2221"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2221"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4633"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173"/>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173"/>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83" w:name="_Ref130286532"/>
      <w:r>
        <w:rPr>
          <w:rFonts w:ascii="Times New Roman" w:hAnsi="Times New Roman" w:eastAsia="Times New Roman" w:cs="Times New Roman"/>
          <w:sz w:val="22"/>
          <w:szCs w:val="22"/>
        </w:rPr>
      </w:r>
      <w:bookmarkStart w:id="84" w:name="_Toc186224029"/>
      <w:r>
        <w:rPr>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r>
      <w:bookmarkEnd w:id="83"/>
      <w:r>
        <w:rPr>
          <w:rFonts w:ascii="Times New Roman" w:hAnsi="Times New Roman" w:eastAsia="Times New Roman" w:cs="Times New Roman"/>
          <w:sz w:val="22"/>
          <w:szCs w:val="22"/>
        </w:rPr>
      </w:r>
      <w:bookmarkEnd w:id="8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85"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86" w:name="_Ref130281199"/>
      <w:r>
        <w:rPr>
          <w:rFonts w:ascii="Times New Roman" w:hAnsi="Times New Roman" w:eastAsia="Times New Roman" w:cs="Times New Roman"/>
          <w:sz w:val="22"/>
          <w:szCs w:val="22"/>
        </w:rPr>
      </w:r>
      <w:bookmarkStart w:id="87" w:name="_Ref130394681"/>
      <w:r>
        <w:rPr>
          <w:rFonts w:ascii="Times New Roman" w:hAnsi="Times New Roman" w:eastAsia="Times New Roman" w:cs="Times New Roman"/>
          <w:sz w:val="22"/>
          <w:szCs w:val="22"/>
        </w:rPr>
      </w:r>
      <w:bookmarkStart w:id="88" w:name="_Toc186224030"/>
      <w:r>
        <w:rPr>
          <w:rFonts w:ascii="Times New Roman" w:hAnsi="Times New Roman" w:eastAsia="Times New Roman" w:cs="Times New Roman"/>
          <w:sz w:val="22"/>
          <w:szCs w:val="22"/>
        </w:rPr>
        <w:t xml:space="preserve">Подготовка заявки</w:t>
      </w:r>
      <w:bookmarkEnd w:id="86"/>
      <w:r>
        <w:rPr>
          <w:rFonts w:ascii="Times New Roman" w:hAnsi="Times New Roman" w:eastAsia="Times New Roman" w:cs="Times New Roman"/>
          <w:sz w:val="22"/>
          <w:szCs w:val="22"/>
        </w:rPr>
      </w:r>
      <w:bookmarkEnd w:id="87"/>
      <w:r>
        <w:rPr>
          <w:rFonts w:ascii="Times New Roman" w:hAnsi="Times New Roman" w:eastAsia="Times New Roman" w:cs="Times New Roman"/>
          <w:sz w:val="22"/>
          <w:szCs w:val="22"/>
        </w:rPr>
      </w:r>
      <w:bookmarkEnd w:id="8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89"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97"/>
            <w:rFonts w:ascii="Times New Roman" w:hAnsi="Times New Roman" w:eastAsia="Times New Roman" w:cs="Times New Roman"/>
            <w:sz w:val="22"/>
            <w:szCs w:val="22"/>
          </w:rPr>
          <w:t xml:space="preserve">Приложением № </w:t>
        </w:r>
        <w:r>
          <w:rPr>
            <w:rStyle w:val="1197"/>
            <w:rFonts w:ascii="Times New Roman" w:hAnsi="Times New Roman" w:eastAsia="Times New Roman" w:cs="Times New Roman"/>
            <w:sz w:val="22"/>
            <w:szCs w:val="22"/>
          </w:rPr>
          <w:t xml:space="preserve">6</w:t>
        </w:r>
        <w:r>
          <w:rPr>
            <w:rStyle w:val="1197"/>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90"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2"/>
          <w:szCs w:val="22"/>
        </w:rPr>
      </w:r>
      <w:bookmarkEnd w:id="9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91" w:name="_Ref125361260"/>
      <w:r>
        <w:rPr>
          <w:rFonts w:ascii="Times New Roman" w:hAnsi="Times New Roman" w:eastAsia="Times New Roman" w:cs="Times New Roman"/>
          <w:sz w:val="22"/>
          <w:szCs w:val="22"/>
        </w:rPr>
      </w:r>
      <w:bookmarkStart w:id="92" w:name="_Ref125362071"/>
      <w:r>
        <w:rPr>
          <w:rFonts w:ascii="Times New Roman" w:hAnsi="Times New Roman" w:eastAsia="Times New Roman" w:cs="Times New Roman"/>
          <w:sz w:val="22"/>
          <w:szCs w:val="22"/>
        </w:rPr>
      </w:r>
      <w:bookmarkStart w:id="93"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94" w:name="_Ref125370700"/>
      <w:r>
        <w:rPr>
          <w:rFonts w:ascii="Times New Roman" w:hAnsi="Times New Roman" w:eastAsia="Times New Roman" w:cs="Times New Roman"/>
          <w:sz w:val="22"/>
          <w:szCs w:val="22"/>
        </w:rPr>
      </w:r>
      <w:bookmarkStart w:id="95"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4"/>
      <w:r>
        <w:rPr>
          <w:sz w:val="22"/>
          <w:szCs w:val="22"/>
        </w:rPr>
      </w:r>
      <w:bookmarkEnd w:id="9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качестве Технического предложения </w:t>
      </w:r>
      <w:r>
        <w:rPr>
          <w:rFonts w:ascii="Times New Roman" w:hAnsi="Times New Roman" w:eastAsia="Times New Roman" w:cs="Times New Roman"/>
          <w:sz w:val="22"/>
          <w:szCs w:val="22"/>
        </w:rPr>
        <w:t xml:space="preserve">Участник в составе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 по установленной форме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согласие (декларацию) на поставку продукции на условиях, указанных в</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 </w:t>
      </w:r>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186224031"/>
      <w:r>
        <w:rPr>
          <w:rFonts w:ascii="Times New Roman" w:hAnsi="Times New Roman" w:eastAsia="Times New Roman" w:cs="Times New Roman"/>
          <w:sz w:val="22"/>
          <w:szCs w:val="22"/>
        </w:rPr>
        <w:t xml:space="preserve">Разъяснение Документации о закупке</w:t>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93"/>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w:t>
        </w:r>
        <w:r>
          <w:rPr>
            <w:rStyle w:val="1197"/>
            <w:rFonts w:ascii="Times New Roman" w:hAnsi="Times New Roman" w:eastAsia="Times New Roman" w:cs="Times New Roman"/>
            <w:sz w:val="22"/>
            <w:szCs w:val="22"/>
          </w:rPr>
          <w:t xml:space="preserve">роекта </w:t>
        </w:r>
        <w:r>
          <w:rPr>
            <w:rStyle w:val="1197"/>
            <w:rFonts w:ascii="Times New Roman" w:hAnsi="Times New Roman" w:eastAsia="Times New Roman" w:cs="Times New Roman"/>
            <w:sz w:val="22"/>
            <w:szCs w:val="22"/>
          </w:rPr>
          <w:t xml:space="preserve">д</w:t>
        </w:r>
        <w:r>
          <w:rPr>
            <w:rStyle w:val="1197"/>
            <w:rFonts w:ascii="Times New Roman" w:hAnsi="Times New Roman" w:eastAsia="Times New Roman" w:cs="Times New Roman"/>
            <w:sz w:val="22"/>
            <w:szCs w:val="22"/>
          </w:rPr>
          <w:t xml:space="preserve">оговора</w:t>
        </w:r>
        <w:r>
          <w:rPr>
            <w:rStyle w:val="1197"/>
            <w:rFonts w:ascii="Times New Roman" w:hAnsi="Times New Roman" w:eastAsia="Times New Roman" w:cs="Times New Roman"/>
            <w:sz w:val="22"/>
            <w:szCs w:val="22"/>
          </w:rPr>
          <w:t xml:space="preserve"> (Приложения № 2)</w:t>
        </w:r>
      </w:hyperlink>
      <w:r>
        <w:rPr>
          <w:rStyle w:val="1197"/>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2"/>
          <w:szCs w:val="22"/>
        </w:rPr>
        <w:t xml:space="preserve">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186224032"/>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w:t>
      </w:r>
      <w:r>
        <w:rPr>
          <w:rFonts w:ascii="Times New Roman" w:hAnsi="Times New Roman" w:eastAsia="Times New Roman" w:cs="Times New Roman"/>
          <w:sz w:val="22"/>
          <w:szCs w:val="22"/>
        </w:rPr>
        <w:t xml:space="preserve"> не менее 4</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(четырех) рабочих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10" w:name="_Ref125362119"/>
      <w:r>
        <w:rPr>
          <w:rFonts w:ascii="Times New Roman" w:hAnsi="Times New Roman" w:eastAsia="Times New Roman" w:cs="Times New Roman"/>
          <w:sz w:val="22"/>
          <w:szCs w:val="22"/>
        </w:rPr>
      </w:r>
      <w:bookmarkStart w:id="111" w:name="_Toc186224033"/>
      <w:r>
        <w:rPr>
          <w:rFonts w:ascii="Times New Roman" w:hAnsi="Times New Roman" w:eastAsia="Times New Roman" w:cs="Times New Roman"/>
          <w:sz w:val="22"/>
          <w:szCs w:val="22"/>
        </w:rPr>
        <w:t xml:space="preserve">Подача заявок и их прием</w:t>
      </w:r>
      <w:bookmarkEnd w:id="110"/>
      <w:r>
        <w:rPr>
          <w:rFonts w:ascii="Times New Roman" w:hAnsi="Times New Roman" w:eastAsia="Times New Roman" w:cs="Times New Roman"/>
          <w:sz w:val="22"/>
          <w:szCs w:val="22"/>
        </w:rPr>
      </w:r>
      <w:bookmarkEnd w:id="111"/>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w:t>
      </w:r>
      <w:r>
        <w:rPr>
          <w:rFonts w:ascii="Times New Roman" w:hAnsi="Times New Roman" w:eastAsia="Times New Roman" w:cs="Times New Roman"/>
          <w:sz w:val="22"/>
          <w:szCs w:val="22"/>
        </w:rPr>
        <w:t xml:space="preserve">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12" w:name="_Ref125362130"/>
      <w:r>
        <w:rPr>
          <w:rFonts w:ascii="Times New Roman" w:hAnsi="Times New Roman" w:eastAsia="Times New Roman" w:cs="Times New Roman"/>
          <w:sz w:val="22"/>
          <w:szCs w:val="22"/>
        </w:rPr>
      </w:r>
      <w:bookmarkStart w:id="113" w:name="_Ref125362192"/>
      <w:r>
        <w:rPr>
          <w:rFonts w:ascii="Times New Roman" w:hAnsi="Times New Roman" w:eastAsia="Times New Roman" w:cs="Times New Roman"/>
          <w:sz w:val="22"/>
          <w:szCs w:val="22"/>
        </w:rPr>
      </w:r>
      <w:bookmarkStart w:id="114" w:name="_Ref125363819"/>
      <w:r>
        <w:rPr>
          <w:rFonts w:ascii="Times New Roman" w:hAnsi="Times New Roman" w:eastAsia="Times New Roman" w:cs="Times New Roman"/>
          <w:sz w:val="22"/>
          <w:szCs w:val="22"/>
        </w:rPr>
      </w:r>
      <w:bookmarkStart w:id="115" w:name="_Ref125365136"/>
      <w:r>
        <w:rPr>
          <w:rFonts w:ascii="Times New Roman" w:hAnsi="Times New Roman" w:eastAsia="Times New Roman" w:cs="Times New Roman"/>
          <w:sz w:val="22"/>
          <w:szCs w:val="22"/>
        </w:rPr>
      </w:r>
      <w:bookmarkStart w:id="116" w:name="_Toc186224034"/>
      <w:r>
        <w:rPr>
          <w:rFonts w:ascii="Times New Roman" w:hAnsi="Times New Roman" w:eastAsia="Times New Roman" w:cs="Times New Roman"/>
          <w:sz w:val="22"/>
          <w:szCs w:val="22"/>
        </w:rPr>
        <w:t xml:space="preserve">Изменение и отзыв заявок</w:t>
      </w:r>
      <w:bookmarkEnd w:id="112"/>
      <w:r>
        <w:rPr>
          <w:rFonts w:ascii="Times New Roman" w:hAnsi="Times New Roman" w:eastAsia="Times New Roman" w:cs="Times New Roman"/>
          <w:sz w:val="22"/>
          <w:szCs w:val="22"/>
        </w:rPr>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17" w:name="_Ref130221619"/>
      <w:r>
        <w:rPr>
          <w:rFonts w:ascii="Times New Roman" w:hAnsi="Times New Roman" w:eastAsia="Times New Roman" w:cs="Times New Roman"/>
          <w:sz w:val="22"/>
          <w:szCs w:val="22"/>
        </w:rPr>
      </w:r>
      <w:bookmarkStart w:id="118" w:name="_Ref125364340"/>
      <w:r>
        <w:rPr>
          <w:rFonts w:ascii="Times New Roman" w:hAnsi="Times New Roman" w:eastAsia="Times New Roman" w:cs="Times New Roman"/>
          <w:sz w:val="22"/>
          <w:szCs w:val="22"/>
        </w:rPr>
      </w:r>
      <w:bookmarkStart w:id="119" w:name="_Toc186224035"/>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7"/>
      <w:r>
        <w:rPr>
          <w:rFonts w:ascii="Times New Roman" w:hAnsi="Times New Roman" w:eastAsia="Times New Roman" w:cs="Times New Roman"/>
          <w:sz w:val="22"/>
          <w:szCs w:val="22"/>
        </w:rPr>
      </w:r>
      <w:bookmarkEnd w:id="11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181"/>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регистрации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заявок (или иное указание на общую стоимость заявки);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причины, </w:t>
      </w:r>
      <w:r>
        <w:rPr>
          <w:rFonts w:ascii="Times New Roman" w:hAnsi="Times New Roman" w:eastAsia="Times New Roman" w:cs="Times New Roman"/>
          <w:sz w:val="22"/>
          <w:szCs w:val="22"/>
        </w:rPr>
        <w:t xml:space="preserve">по которым закупка признана несостоявшейся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официально размещает его в течение</w:t>
      </w:r>
      <w:r>
        <w:rPr>
          <w:rFonts w:ascii="Times New Roman" w:hAnsi="Times New Roman" w:eastAsia="Times New Roman" w:cs="Times New Roman"/>
          <w:sz w:val="22"/>
          <w:szCs w:val="22"/>
        </w:rPr>
        <w:t xml:space="preserve">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подписания такого протокола. Заседани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Закупочной комиссии при этом не проводится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ротокол открытия доступа к заявкам может формироваться автоматически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после чего официально размещаться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порядке. В этом случае протокол считается подписанным уполномоченным лицом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20" w:name="_Ref125362364"/>
      <w:r>
        <w:rPr>
          <w:rFonts w:ascii="Times New Roman" w:hAnsi="Times New Roman" w:eastAsia="Times New Roman" w:cs="Times New Roman"/>
          <w:sz w:val="22"/>
          <w:szCs w:val="22"/>
        </w:rPr>
      </w:r>
      <w:bookmarkStart w:id="121" w:name="_Ref125366689"/>
      <w:r>
        <w:rPr>
          <w:rFonts w:ascii="Times New Roman" w:hAnsi="Times New Roman" w:eastAsia="Times New Roman" w:cs="Times New Roman"/>
          <w:sz w:val="22"/>
          <w:szCs w:val="22"/>
        </w:rPr>
      </w:r>
      <w:bookmarkStart w:id="122" w:name="_Ref135749133"/>
      <w:r>
        <w:rPr>
          <w:rFonts w:ascii="Times New Roman" w:hAnsi="Times New Roman" w:eastAsia="Times New Roman" w:cs="Times New Roman"/>
          <w:sz w:val="22"/>
          <w:szCs w:val="22"/>
        </w:rPr>
      </w:r>
      <w:bookmarkStart w:id="123" w:name="_Toc186224036"/>
      <w:r>
        <w:rPr>
          <w:rFonts w:ascii="Times New Roman" w:hAnsi="Times New Roman" w:eastAsia="Times New Roman" w:cs="Times New Roman"/>
          <w:sz w:val="22"/>
          <w:szCs w:val="22"/>
        </w:rPr>
      </w:r>
      <w:bookmarkEnd w:id="118"/>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0"/>
      <w:r>
        <w:rPr>
          <w:rFonts w:ascii="Times New Roman" w:hAnsi="Times New Roman" w:eastAsia="Times New Roman" w:cs="Times New Roman"/>
          <w:sz w:val="22"/>
          <w:szCs w:val="22"/>
        </w:rPr>
      </w:r>
      <w:bookmarkEnd w:id="121"/>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2"/>
      <w:r>
        <w:rPr>
          <w:rFonts w:ascii="Times New Roman" w:hAnsi="Times New Roman" w:eastAsia="Times New Roman" w:cs="Times New Roman"/>
          <w:sz w:val="22"/>
          <w:szCs w:val="22"/>
        </w:rPr>
      </w:r>
      <w:bookmarkEnd w:id="123"/>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197"/>
            <w:rFonts w:ascii="Times New Roman" w:hAnsi="Times New Roman" w:eastAsia="Times New Roman" w:cs="Times New Roman"/>
            <w:sz w:val="22"/>
            <w:szCs w:val="22"/>
          </w:rPr>
          <w:t xml:space="preserve">О</w:t>
        </w:r>
        <w:r>
          <w:rPr>
            <w:rStyle w:val="1197"/>
            <w:rFonts w:ascii="Times New Roman" w:hAnsi="Times New Roman" w:eastAsia="Times New Roman" w:cs="Times New Roman"/>
            <w:sz w:val="22"/>
            <w:szCs w:val="22"/>
          </w:rPr>
          <w:t xml:space="preserve">тборочным критериям</w:t>
        </w:r>
        <w:r>
          <w:rPr>
            <w:rStyle w:val="1197"/>
            <w:rFonts w:ascii="Times New Roman" w:hAnsi="Times New Roman" w:eastAsia="Times New Roman" w:cs="Times New Roman"/>
            <w:sz w:val="22"/>
            <w:szCs w:val="22"/>
          </w:rPr>
          <w:t xml:space="preserve"> рассмотрения заявок (Приложение № </w:t>
        </w:r>
        <w:r>
          <w:rPr>
            <w:rStyle w:val="1197"/>
            <w:rFonts w:ascii="Times New Roman" w:hAnsi="Times New Roman" w:eastAsia="Times New Roman" w:cs="Times New Roman"/>
            <w:sz w:val="22"/>
            <w:szCs w:val="22"/>
          </w:rPr>
          <w:t xml:space="preserve">7</w:t>
        </w:r>
        <w:r>
          <w:rPr>
            <w:rStyle w:val="1197"/>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124"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w:t>
      </w:r>
      <w:r>
        <w:rPr>
          <w:rStyle w:val="1181"/>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181"/>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_Ref125362430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данном случае оценка и </w:t>
      </w:r>
      <w:r>
        <w:rPr>
          <w:rFonts w:ascii="Times New Roman" w:hAnsi="Times New Roman" w:eastAsia="Times New Roman" w:cs="Times New Roman"/>
          <w:sz w:val="22"/>
          <w:szCs w:val="22"/>
        </w:rPr>
        <w:t xml:space="preserve">сопоставление заявок, а также их предварительная ранжировка осуществляются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основании представленных в составе заявки документов и сведений (включая </w:t>
      </w:r>
      <w:r>
        <w:rPr>
          <w:rFonts w:ascii="Times New Roman" w:hAnsi="Times New Roman" w:eastAsia="Times New Roman" w:cs="Times New Roman"/>
          <w:sz w:val="22"/>
          <w:szCs w:val="22"/>
        </w:rPr>
        <w:t xml:space="preserve">стоимост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181"/>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170"/>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70"/>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предварите</w:t>
      </w:r>
      <w:r>
        <w:rPr>
          <w:rFonts w:ascii="Times New Roman" w:hAnsi="Times New Roman" w:eastAsia="Times New Roman" w:cs="Times New Roman"/>
          <w:sz w:val="22"/>
          <w:szCs w:val="22"/>
        </w:rPr>
        <w:t xml:space="preserve">льной оценки и сопоставления допущенных заявок</w:t>
      </w:r>
      <w:r>
        <w:rPr>
          <w:rFonts w:ascii="Times New Roman" w:hAnsi="Times New Roman" w:eastAsia="Times New Roman" w:cs="Times New Roman"/>
          <w:sz w:val="22"/>
          <w:szCs w:val="22"/>
        </w:rPr>
        <w:t xml:space="preserve"> – в случае принятия решения о проведении переторжки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порядкового номера каждой допущенной заявки в предварительной ранжировке заявок, включая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5"/>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 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оценка и сопоставление заявок, а также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362381"/>
      <w:r>
        <w:rPr>
          <w:rFonts w:ascii="Times New Roman" w:hAnsi="Times New Roman" w:eastAsia="Times New Roman" w:cs="Times New Roman"/>
          <w:sz w:val="22"/>
          <w:szCs w:val="22"/>
        </w:rPr>
      </w:r>
      <w:bookmarkStart w:id="127" w:name="_Ref125362425"/>
      <w:r>
        <w:rPr>
          <w:rFonts w:ascii="Times New Roman" w:hAnsi="Times New Roman" w:eastAsia="Times New Roman" w:cs="Times New Roman"/>
          <w:sz w:val="22"/>
          <w:szCs w:val="22"/>
        </w:rPr>
      </w:r>
      <w:bookmarkStart w:id="128" w:name="_Ref125362464"/>
      <w:r>
        <w:rPr>
          <w:rFonts w:ascii="Times New Roman" w:hAnsi="Times New Roman" w:eastAsia="Times New Roman" w:cs="Times New Roman"/>
          <w:sz w:val="22"/>
          <w:szCs w:val="22"/>
        </w:rPr>
      </w:r>
      <w:bookmarkStart w:id="129" w:name="_Ref125362610"/>
      <w:r>
        <w:rPr>
          <w:rFonts w:ascii="Times New Roman" w:hAnsi="Times New Roman" w:eastAsia="Times New Roman" w:cs="Times New Roman"/>
          <w:sz w:val="22"/>
          <w:szCs w:val="22"/>
        </w:rPr>
      </w:r>
      <w:bookmarkStart w:id="130" w:name="_Toc186224037"/>
      <w:r>
        <w:rPr>
          <w:rFonts w:ascii="Times New Roman" w:hAnsi="Times New Roman" w:eastAsia="Times New Roman" w:cs="Times New Roman"/>
          <w:sz w:val="22"/>
          <w:szCs w:val="22"/>
        </w:rPr>
        <w:t xml:space="preserve">Дополнительные запросы разъяснений заявок</w:t>
      </w:r>
      <w:bookmarkEnd w:id="126"/>
      <w:r>
        <w:rPr>
          <w:rFonts w:ascii="Times New Roman" w:hAnsi="Times New Roman" w:eastAsia="Times New Roman" w:cs="Times New Roman"/>
          <w:sz w:val="22"/>
          <w:szCs w:val="22"/>
        </w:rPr>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31"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или оценку и сопоставление его заявки, в следующих случаях:</w:t>
      </w:r>
      <w:bookmarkEnd w:id="131"/>
      <w:r>
        <w:rPr>
          <w:rFonts w:ascii="Times New Roman" w:hAnsi="Times New Roman" w:cs="Times New Roman"/>
          <w:sz w:val="22"/>
          <w:szCs w:val="22"/>
        </w:rPr>
      </w:r>
      <w:r>
        <w:rPr>
          <w:rFonts w:ascii="Times New Roman" w:hAnsi="Times New Roman" w:cs="Times New Roman"/>
          <w:sz w:val="22"/>
          <w:szCs w:val="22"/>
        </w:rPr>
      </w:r>
    </w:p>
    <w:p>
      <w:pPr>
        <w:pStyle w:val="1170"/>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132"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181"/>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2"/>
          <w:szCs w:val="22"/>
        </w:rPr>
        <w:t xml:space="preserve">.</w:t>
      </w:r>
      <w:bookmarkEnd w:id="132"/>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33" w:name="_Ref125362430"/>
      <w:r>
        <w:rPr>
          <w:rFonts w:ascii="Times New Roman" w:hAnsi="Times New Roman" w:eastAsia="Times New Roman" w:cs="Times New Roman"/>
          <w:sz w:val="22"/>
          <w:szCs w:val="22"/>
        </w:rPr>
      </w:r>
      <w:bookmarkStart w:id="134" w:name="_Ref125362537"/>
      <w:r>
        <w:rPr>
          <w:rFonts w:ascii="Times New Roman" w:hAnsi="Times New Roman" w:eastAsia="Times New Roman" w:cs="Times New Roman"/>
          <w:sz w:val="22"/>
          <w:szCs w:val="22"/>
        </w:rPr>
      </w:r>
      <w:bookmarkStart w:id="135" w:name="_Ref127536359"/>
      <w:r>
        <w:rPr>
          <w:rFonts w:ascii="Times New Roman" w:hAnsi="Times New Roman" w:eastAsia="Times New Roman" w:cs="Times New Roman"/>
          <w:sz w:val="22"/>
          <w:szCs w:val="22"/>
        </w:rPr>
      </w:r>
      <w:bookmarkStart w:id="136" w:name="_Toc186224038"/>
      <w:r>
        <w:rPr>
          <w:rFonts w:ascii="Times New Roman" w:hAnsi="Times New Roman" w:eastAsia="Times New Roman" w:cs="Times New Roman"/>
          <w:sz w:val="22"/>
          <w:szCs w:val="22"/>
        </w:rPr>
        <w:t xml:space="preserve">Переторжка</w:t>
      </w:r>
      <w:bookmarkEnd w:id="133"/>
      <w:r>
        <w:rPr>
          <w:rFonts w:ascii="Times New Roman" w:hAnsi="Times New Roman" w:eastAsia="Times New Roman" w:cs="Times New Roman"/>
          <w:sz w:val="22"/>
          <w:szCs w:val="22"/>
        </w:rPr>
      </w:r>
      <w:bookmarkEnd w:id="134"/>
      <w:r>
        <w:rPr>
          <w:rFonts w:ascii="Times New Roman" w:hAnsi="Times New Roman" w:eastAsia="Times New Roman" w:cs="Times New Roman"/>
          <w:sz w:val="22"/>
          <w:szCs w:val="22"/>
        </w:rPr>
      </w:r>
      <w:bookmarkEnd w:id="135"/>
      <w:r>
        <w:rPr>
          <w:rFonts w:ascii="Times New Roman" w:hAnsi="Times New Roman" w:eastAsia="Times New Roman" w:cs="Times New Roman"/>
          <w:sz w:val="22"/>
          <w:szCs w:val="22"/>
        </w:rPr>
      </w:r>
      <w:bookmarkEnd w:id="13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w:t>
      </w:r>
      <w:r>
        <w:rPr>
          <w:rFonts w:ascii="Times New Roman" w:hAnsi="Times New Roman" w:eastAsia="Times New Roman" w:cs="Times New Roman"/>
          <w:sz w:val="22"/>
          <w:szCs w:val="22"/>
        </w:rPr>
        <w:t xml:space="preserve">ешение о проведении процедуры переторжки, а также ее предмете, сроках и форме ее проведения принимает Закупочная комиссия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 фиксирует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протоколе 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редметом переторжки могут являться следующие условия (или их сочетания), позволяющие повысить предпочтительность поданных заявок:</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цена за единицу продукции;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сроки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условия оплаты;</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иные условия, которые являются критериями оценки заявок.</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предметом переторжки не могут быть условия,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входят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 критериев оценки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ри проведении переторжки п</w:t>
      </w:r>
      <w:r>
        <w:rPr>
          <w:rFonts w:ascii="Times New Roman" w:hAnsi="Times New Roman" w:eastAsia="Times New Roman" w:cs="Times New Roman"/>
          <w:sz w:val="22"/>
          <w:szCs w:val="22"/>
        </w:rP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переторжке может принять участие любой Участник, заявка которого не была отклонена по результатам рассмотрения заявок.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допущенный к переторжке, вправе не принимать в ней участия,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его заявка не отклоняется и действует на предложенных в ней условиях в течение срока, </w:t>
      </w:r>
      <w:r>
        <w:rPr>
          <w:rFonts w:ascii="Times New Roman" w:hAnsi="Times New Roman" w:eastAsia="Times New Roman" w:cs="Times New Roman"/>
          <w:sz w:val="22"/>
          <w:szCs w:val="22"/>
        </w:rPr>
        <w:t xml:space="preserve">указанного в Письме о подаче оферты</w:t>
      </w:r>
      <w:r>
        <w:rPr>
          <w:rFonts w:ascii="Times New Roman" w:hAnsi="Times New Roman" w:eastAsia="Times New Roman" w:cs="Times New Roman"/>
          <w:sz w:val="22"/>
          <w:szCs w:val="22"/>
        </w:rPr>
        <w:t xml:space="preserve"> (форма 2)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зменение цены в сторону снижения, а также изменение иных условий заявки по соответствующему предмету переторжки, не должно повлечь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собой </w:t>
      </w:r>
      <w:r>
        <w:rPr>
          <w:rFonts w:ascii="Times New Roman" w:hAnsi="Times New Roman" w:eastAsia="Times New Roman" w:cs="Times New Roman"/>
          <w:sz w:val="22"/>
          <w:szCs w:val="22"/>
        </w:rP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таких отклонений заявка Участника рассматривается с ранее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изменять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отзывать поданные предложения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переторжку после окончания ее проведения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частие в </w:t>
      </w:r>
      <w:r>
        <w:rPr>
          <w:rFonts w:ascii="Times New Roman" w:hAnsi="Times New Roman" w:eastAsia="Times New Roman" w:cs="Times New Roman"/>
          <w:sz w:val="22"/>
          <w:szCs w:val="22"/>
        </w:rPr>
        <w:t xml:space="preserve">переторжке не расценивается Организатором как нарушение требований</w:t>
      </w:r>
      <w:r>
        <w:rPr>
          <w:rFonts w:ascii="Times New Roman" w:hAnsi="Times New Roman" w:eastAsia="Times New Roman" w:cs="Times New Roman"/>
          <w:sz w:val="22"/>
          <w:szCs w:val="22"/>
        </w:rPr>
        <w:t xml:space="preserve"> о </w:t>
      </w:r>
      <w:r>
        <w:rPr>
          <w:rFonts w:ascii="Times New Roman" w:hAnsi="Times New Roman" w:eastAsia="Times New Roman" w:cs="Times New Roman"/>
          <w:sz w:val="22"/>
          <w:szCs w:val="22"/>
        </w:rPr>
        <w:t xml:space="preserve">прав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подачи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одной</w:t>
      </w:r>
      <w:r>
        <w:rPr>
          <w:rFonts w:ascii="Times New Roman" w:hAnsi="Times New Roman" w:eastAsia="Times New Roman" w:cs="Times New Roman"/>
          <w:sz w:val="22"/>
          <w:szCs w:val="22"/>
        </w:rPr>
        <w:t xml:space="preserve">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Предложения, заявленные Участниками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переторжки, имеют статус разрешенных изменений в ранее поданную заявку.</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переторжки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 зависимости от правил, предусмотренных Регламентом Э</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 переторжка может проводиться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заочной форме путем однократной подачи предложения на переторжку к установленному </w:t>
      </w:r>
      <w:r>
        <w:rPr>
          <w:rFonts w:ascii="Times New Roman" w:hAnsi="Times New Roman" w:eastAsia="Times New Roman" w:cs="Times New Roman"/>
          <w:sz w:val="22"/>
          <w:szCs w:val="22"/>
        </w:rPr>
        <w:t xml:space="preserve">сроку;</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в очной форме путем неоднократного снижения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или улучшения других показателей</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установлением «шага»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Pr>
          <w:rFonts w:ascii="Times New Roman" w:hAnsi="Times New Roman" w:eastAsia="Times New Roman" w:cs="Times New Roman"/>
          <w:sz w:val="22"/>
          <w:szCs w:val="22"/>
        </w:rPr>
        <w:t xml:space="preserve"> посредством ЭП</w:t>
      </w:r>
      <w:r>
        <w:rPr>
          <w:rFonts w:ascii="Times New Roman" w:hAnsi="Times New Roman" w:eastAsia="Times New Roman" w:cs="Times New Roman"/>
          <w:sz w:val="22"/>
          <w:szCs w:val="22"/>
        </w:rPr>
        <w:t xml:space="preserve">. В уведомлении указывается срок окончания подачи Участниками предложений на переторжку.</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желающий принять участие в переторжке, должен в срок, установленный Закупочной комиссией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предоставить свои предложения на переторжку.</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37" w:name="_Ref136245191"/>
      <w:r>
        <w:rPr>
          <w:rFonts w:ascii="Times New Roman" w:hAnsi="Times New Roman" w:eastAsia="Times New Roman" w:cs="Times New Roman"/>
          <w:sz w:val="22"/>
          <w:szCs w:val="22"/>
        </w:rPr>
        <w:t xml:space="preserve">При заочной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w:t>
      </w:r>
      <w:r>
        <w:rPr>
          <w:rFonts w:ascii="Times New Roman" w:hAnsi="Times New Roman" w:eastAsia="Times New Roman" w:cs="Times New Roman"/>
          <w:sz w:val="22"/>
          <w:szCs w:val="22"/>
        </w:rPr>
        <w:t xml:space="preserve"> Участник вместе с пр</w:t>
      </w:r>
      <w:r>
        <w:rPr>
          <w:rFonts w:ascii="Times New Roman" w:hAnsi="Times New Roman" w:eastAsia="Times New Roman" w:cs="Times New Roman"/>
          <w:sz w:val="22"/>
          <w:szCs w:val="22"/>
        </w:rPr>
        <w:t xml:space="preserve">ед</w:t>
      </w:r>
      <w:r>
        <w:rPr>
          <w:rFonts w:ascii="Times New Roman" w:hAnsi="Times New Roman" w:eastAsia="Times New Roman" w:cs="Times New Roman"/>
          <w:sz w:val="22"/>
          <w:szCs w:val="22"/>
        </w:rPr>
        <w:t xml:space="preserve">ложением на переторжку размещает на ЭП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w:t>
      </w:r>
      <w:bookmarkEnd w:id="137"/>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очной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признанный Победителем,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что он принимал участие в переторжк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обязан предоставить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в </w:t>
      </w:r>
      <w:r>
        <w:rPr>
          <w:rFonts w:ascii="Times New Roman" w:hAnsi="Times New Roman" w:eastAsia="Times New Roman" w:cs="Times New Roman"/>
          <w:sz w:val="22"/>
          <w:szCs w:val="22"/>
        </w:rPr>
        <w:t xml:space="preserve">сроки, определенные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 (в том числе, последним по времени </w:t>
      </w:r>
      <w:r>
        <w:rPr>
          <w:rFonts w:ascii="Times New Roman" w:hAnsi="Times New Roman" w:eastAsia="Times New Roman" w:cs="Times New Roman"/>
          <w:sz w:val="22"/>
          <w:szCs w:val="22"/>
        </w:rPr>
        <w:t xml:space="preserve">стоимостным</w:t>
      </w:r>
      <w:r>
        <w:rPr>
          <w:rFonts w:ascii="Times New Roman" w:hAnsi="Times New Roman" w:eastAsia="Times New Roman" w:cs="Times New Roman"/>
          <w:sz w:val="22"/>
          <w:szCs w:val="22"/>
        </w:rPr>
        <w:t xml:space="preserve">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138" w:name="_Ref136244167"/>
      <w:r>
        <w:rPr>
          <w:rFonts w:ascii="Times New Roman" w:hAnsi="Times New Roman" w:eastAsia="Times New Roman" w:cs="Times New Roman"/>
          <w:sz w:val="22"/>
          <w:szCs w:val="22"/>
        </w:rPr>
        <w:t xml:space="preserve">Документы заявки, </w:t>
      </w:r>
      <w:r>
        <w:rPr>
          <w:rFonts w:ascii="Times New Roman" w:hAnsi="Times New Roman" w:eastAsia="Times New Roman" w:cs="Times New Roman"/>
          <w:sz w:val="22"/>
          <w:szCs w:val="22"/>
        </w:rPr>
        <w:t xml:space="preserve">подлежащие корректировке </w:t>
      </w:r>
      <w:r>
        <w:rPr>
          <w:rFonts w:ascii="Times New Roman" w:hAnsi="Times New Roman" w:eastAsia="Times New Roman" w:cs="Times New Roman"/>
          <w:sz w:val="22"/>
          <w:szCs w:val="22"/>
        </w:rPr>
        <w:t xml:space="preserve">по результатам</w:t>
      </w:r>
      <w:r>
        <w:rPr>
          <w:rFonts w:ascii="Times New Roman" w:hAnsi="Times New Roman" w:eastAsia="Times New Roman" w:cs="Times New Roman"/>
          <w:sz w:val="22"/>
          <w:szCs w:val="22"/>
        </w:rPr>
        <w:t xml:space="preserve"> переторжки</w:t>
      </w:r>
      <w:r>
        <w:rPr>
          <w:rFonts w:ascii="Times New Roman" w:hAnsi="Times New Roman" w:eastAsia="Times New Roman" w:cs="Times New Roman"/>
          <w:sz w:val="22"/>
          <w:szCs w:val="22"/>
        </w:rPr>
        <w:t xml:space="preserve">:</w:t>
      </w:r>
      <w:bookmarkEnd w:id="138"/>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139" w:name="_Ref130376111"/>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дополнительно</w:t>
      </w:r>
      <w:r>
        <w:rPr>
          <w:rFonts w:ascii="Times New Roman" w:hAnsi="Times New Roman" w:eastAsia="Times New Roman" w:cs="Times New Roman"/>
          <w:sz w:val="22"/>
          <w:szCs w:val="22"/>
        </w:rPr>
        <w:t xml:space="preserve">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Техническими требования</w:t>
        </w:r>
        <w:r>
          <w:rPr>
            <w:rStyle w:val="1197"/>
            <w:rFonts w:ascii="Times New Roman" w:hAnsi="Times New Roman" w:eastAsia="Times New Roman" w:cs="Times New Roman"/>
            <w:sz w:val="22"/>
            <w:szCs w:val="22"/>
          </w:rPr>
          <w:t xml:space="preserve">ми</w:t>
        </w:r>
        <w:r>
          <w:rPr>
            <w:rStyle w:val="1197"/>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 – только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аналогичные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w:t>
      </w:r>
      <w:r>
        <w:rPr>
          <w:rFonts w:ascii="Times New Roman" w:hAnsi="Times New Roman" w:eastAsia="Times New Roman" w:cs="Times New Roman"/>
          <w:sz w:val="22"/>
          <w:szCs w:val="22"/>
        </w:rPr>
        <w:t xml:space="preserve"> подрядчиком;</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иной документ, указанный в протоколе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(которым назначена переторжка), связанный с предметом проводимой переторжки.</w:t>
      </w:r>
      <w:bookmarkEnd w:id="139"/>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принявший участие в переторжке</w:t>
      </w:r>
      <w:r>
        <w:rPr>
          <w:rFonts w:ascii="Times New Roman" w:hAnsi="Times New Roman" w:eastAsia="Times New Roman" w:cs="Times New Roman"/>
          <w:sz w:val="22"/>
          <w:szCs w:val="22"/>
        </w:rPr>
        <w:t xml:space="preserve"> в заочной форме,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предоставил документы, в соответствии 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_Ref136245191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либо не предоставил их в ответ на дополнительный запрос Организатора, он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считается не участвовавшим в переторжке, и его заявка остается действующей с ранее (первоначально)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 соответствующего решения Закупочной комиссии о допуске Участника к переторжке </w:t>
      </w:r>
      <w:r>
        <w:rPr>
          <w:rFonts w:ascii="Times New Roman" w:hAnsi="Times New Roman" w:eastAsia="Times New Roman" w:cs="Times New Roman"/>
          <w:sz w:val="22"/>
          <w:szCs w:val="22"/>
        </w:rPr>
        <w:t xml:space="preserve">в заочной форме </w:t>
      </w:r>
      <w:r>
        <w:rPr>
          <w:rFonts w:ascii="Times New Roman" w:hAnsi="Times New Roman" w:eastAsia="Times New Roman" w:cs="Times New Roman"/>
          <w:sz w:val="22"/>
          <w:szCs w:val="22"/>
        </w:rP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40" w:name="_Ref125362626"/>
      <w:r>
        <w:rPr>
          <w:rFonts w:ascii="Times New Roman" w:hAnsi="Times New Roman" w:eastAsia="Times New Roman" w:cs="Times New Roman"/>
          <w:sz w:val="22"/>
          <w:szCs w:val="22"/>
        </w:rPr>
      </w:r>
      <w:bookmarkStart w:id="141" w:name="_Ref125365335"/>
      <w:r>
        <w:rPr>
          <w:rFonts w:ascii="Times New Roman" w:hAnsi="Times New Roman" w:eastAsia="Times New Roman" w:cs="Times New Roman"/>
          <w:sz w:val="22"/>
          <w:szCs w:val="22"/>
        </w:rPr>
      </w:r>
      <w:bookmarkStart w:id="142" w:name="_Ref125365519"/>
      <w:r>
        <w:rPr>
          <w:rFonts w:ascii="Times New Roman" w:hAnsi="Times New Roman" w:eastAsia="Times New Roman" w:cs="Times New Roman"/>
          <w:sz w:val="22"/>
          <w:szCs w:val="22"/>
        </w:rPr>
      </w:r>
      <w:bookmarkStart w:id="143" w:name="_Ref125366534"/>
      <w:r>
        <w:rPr>
          <w:rFonts w:ascii="Times New Roman" w:hAnsi="Times New Roman" w:eastAsia="Times New Roman" w:cs="Times New Roman"/>
          <w:sz w:val="22"/>
          <w:szCs w:val="22"/>
        </w:rPr>
      </w:r>
      <w:bookmarkStart w:id="144" w:name="_Ref125369041"/>
      <w:r>
        <w:rPr>
          <w:rFonts w:ascii="Times New Roman" w:hAnsi="Times New Roman" w:eastAsia="Times New Roman" w:cs="Times New Roman"/>
          <w:sz w:val="22"/>
          <w:szCs w:val="22"/>
        </w:rPr>
      </w:r>
      <w:bookmarkStart w:id="145" w:name="_Ref125369308"/>
      <w:r>
        <w:rPr>
          <w:rFonts w:ascii="Times New Roman" w:hAnsi="Times New Roman" w:eastAsia="Times New Roman" w:cs="Times New Roman"/>
          <w:sz w:val="22"/>
          <w:szCs w:val="22"/>
        </w:rPr>
      </w:r>
      <w:bookmarkStart w:id="146" w:name="_Toc186224039"/>
      <w:r>
        <w:rPr>
          <w:rFonts w:ascii="Times New Roman" w:hAnsi="Times New Roman" w:eastAsia="Times New Roman" w:cs="Times New Roman"/>
          <w:sz w:val="22"/>
          <w:szCs w:val="22"/>
        </w:rPr>
        <w:t xml:space="preserve">Оценка и сопоставление заявок</w:t>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w:t>
      </w:r>
      <w:r>
        <w:rPr>
          <w:rFonts w:ascii="Times New Roman" w:hAnsi="Times New Roman" w:eastAsia="Times New Roman" w:cs="Times New Roman"/>
          <w:sz w:val="22"/>
          <w:szCs w:val="22"/>
        </w:rPr>
        <w:t xml:space="preserve"> в соответствии </w:t>
      </w:r>
      <w:r>
        <w:rPr>
          <w:rFonts w:ascii="Times New Roman" w:hAnsi="Times New Roman" w:eastAsia="Times New Roman" w:cs="Times New Roman"/>
          <w:sz w:val="22"/>
          <w:szCs w:val="22"/>
        </w:rPr>
        <w:t xml:space="preserve">с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Порядком и критериями оценки и сопоставления заявок (Приложение № </w:t>
        </w:r>
        <w:r>
          <w:rPr>
            <w:rStyle w:val="1197"/>
            <w:rFonts w:ascii="Times New Roman" w:hAnsi="Times New Roman" w:eastAsia="Times New Roman" w:cs="Times New Roman"/>
            <w:sz w:val="22"/>
            <w:szCs w:val="22"/>
          </w:rPr>
          <w:t xml:space="preserve">8</w:t>
        </w:r>
        <w:r>
          <w:rPr>
            <w:rStyle w:val="1197"/>
            <w:rFonts w:ascii="Times New Roman" w:hAnsi="Times New Roman" w:eastAsia="Times New Roman" w:cs="Times New Roman"/>
            <w:sz w:val="22"/>
            <w:szCs w:val="22"/>
          </w:rPr>
          <w:t xml:space="preserve">)</w:t>
        </w:r>
      </w:hyperlink>
      <w:r>
        <w:rPr>
          <w:rStyle w:val="1197"/>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результатом является</w:t>
      </w:r>
      <w:r>
        <w:rPr>
          <w:rFonts w:ascii="Times New Roman" w:hAnsi="Times New Roman" w:eastAsia="Times New Roman" w:cs="Times New Roman"/>
          <w:sz w:val="22"/>
          <w:szCs w:val="22"/>
        </w:rPr>
        <w:t xml:space="preserve"> формирование ранжировки заявок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степени предпочтительности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полученного итогового балла (по мере уменьшения).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получившей наибольший итоговый балл</w:t>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по результат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 оценки </w:t>
      </w:r>
      <w:r>
        <w:rPr>
          <w:rFonts w:ascii="Times New Roman" w:hAnsi="Times New Roman" w:eastAsia="Times New Roman" w:cs="Times New Roman"/>
          <w:sz w:val="22"/>
          <w:szCs w:val="22"/>
        </w:rPr>
        <w:t xml:space="preserve">нескольки</w:t>
      </w:r>
      <w:r>
        <w:rPr>
          <w:rFonts w:ascii="Times New Roman" w:hAnsi="Times New Roman" w:eastAsia="Times New Roman" w:cs="Times New Roman"/>
          <w:sz w:val="22"/>
          <w:szCs w:val="22"/>
        </w:rPr>
        <w:t xml:space="preserve">м </w:t>
      </w:r>
      <w:r>
        <w:rPr>
          <w:rFonts w:ascii="Times New Roman" w:hAnsi="Times New Roman" w:eastAsia="Times New Roman" w:cs="Times New Roman"/>
          <w:sz w:val="22"/>
          <w:szCs w:val="22"/>
        </w:rPr>
        <w:t xml:space="preserve">заявка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присвоен одинаковый итоговый балл</w:t>
      </w:r>
      <w:r>
        <w:rPr>
          <w:rFonts w:ascii="Times New Roman" w:hAnsi="Times New Roman" w:eastAsia="Times New Roman" w:cs="Times New Roman"/>
          <w:sz w:val="22"/>
          <w:szCs w:val="22"/>
        </w:rPr>
        <w:t xml:space="preserve">, то </w:t>
      </w:r>
      <w:r>
        <w:rPr>
          <w:rFonts w:ascii="Times New Roman" w:hAnsi="Times New Roman" w:eastAsia="Times New Roman" w:cs="Times New Roman"/>
          <w:sz w:val="22"/>
          <w:szCs w:val="22"/>
        </w:rP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2"/>
          <w:szCs w:val="22"/>
        </w:rPr>
        <w:t xml:space="preserve">на ЭП </w:t>
      </w:r>
      <w:r>
        <w:rPr>
          <w:rFonts w:ascii="Times New Roman" w:hAnsi="Times New Roman" w:eastAsia="Times New Roman" w:cs="Times New Roman"/>
          <w:sz w:val="22"/>
          <w:szCs w:val="22"/>
        </w:rPr>
        <w:t xml:space="preserve">до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критериев оценки и сопоставления заявок, кроме предусмотренных Документацией о закупке,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проводилась </w:t>
      </w:r>
      <w:r>
        <w:rPr>
          <w:rFonts w:ascii="Times New Roman" w:hAnsi="Times New Roman" w:eastAsia="Times New Roman" w:cs="Times New Roman"/>
          <w:sz w:val="22"/>
          <w:szCs w:val="22"/>
        </w:rPr>
        <w:t xml:space="preserve">переторжк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оценка и сопоставление заявок, а также их ранжировка осуществляются с учетом предложений, полученных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переторжки (последней переторжки – если она проводилась многократно). Заявки Участников, не принявших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переторжке, учитываются при построении ранжировки заявок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первоначальными, указанными в их заявках предложениями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предложениями, принятыми Организатором в рамках последней прошедшей переторжки – если она проводилась многократно).</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147" w:name="_Ref125366064"/>
      <w:r>
        <w:rPr>
          <w:rFonts w:ascii="Times New Roman" w:hAnsi="Times New Roman" w:eastAsia="Times New Roman" w:cs="Times New Roman"/>
          <w:sz w:val="22"/>
          <w:szCs w:val="22"/>
        </w:rPr>
      </w:r>
      <w:bookmarkStart w:id="148" w:name="_Ref125369991"/>
      <w:r>
        <w:rPr>
          <w:rFonts w:ascii="Times New Roman" w:hAnsi="Times New Roman" w:eastAsia="Times New Roman" w:cs="Times New Roman"/>
          <w:sz w:val="22"/>
          <w:szCs w:val="22"/>
        </w:rPr>
      </w:r>
      <w:bookmarkStart w:id="149" w:name="_Ref125370507"/>
      <w:r>
        <w:rPr>
          <w:rFonts w:ascii="Times New Roman" w:hAnsi="Times New Roman" w:eastAsia="Times New Roman" w:cs="Times New Roman"/>
          <w:sz w:val="22"/>
          <w:szCs w:val="22"/>
        </w:rPr>
      </w:r>
      <w:bookmarkStart w:id="150" w:name="_Ref130458671"/>
      <w:r>
        <w:rPr>
          <w:rFonts w:ascii="Times New Roman" w:hAnsi="Times New Roman" w:eastAsia="Times New Roman" w:cs="Times New Roman"/>
          <w:sz w:val="22"/>
          <w:szCs w:val="22"/>
        </w:rPr>
        <w:t xml:space="preserve">Оценка и сопоставление заявок, </w:t>
      </w:r>
      <w:r>
        <w:rPr>
          <w:rFonts w:ascii="Times New Roman" w:hAnsi="Times New Roman" w:eastAsia="Times New Roman" w:cs="Times New Roman"/>
          <w:sz w:val="22"/>
          <w:szCs w:val="22"/>
        </w:rPr>
        <w:t xml:space="preserve">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51" w:name="_Ref130985951"/>
      <w:r>
        <w:rPr>
          <w:rFonts w:ascii="Times New Roman" w:hAnsi="Times New Roman" w:eastAsia="Times New Roman" w:cs="Times New Roman"/>
          <w:sz w:val="22"/>
          <w:szCs w:val="22"/>
        </w:rPr>
      </w:r>
      <w:bookmarkStart w:id="152" w:name="_Ref132894106"/>
      <w:r>
        <w:rPr>
          <w:rFonts w:ascii="Times New Roman" w:hAnsi="Times New Roman" w:eastAsia="Times New Roman" w:cs="Times New Roman"/>
          <w:sz w:val="22"/>
          <w:szCs w:val="22"/>
        </w:rPr>
      </w:r>
      <w:bookmarkStart w:id="153" w:name="_Ref132894111"/>
      <w:r>
        <w:rPr>
          <w:rFonts w:ascii="Times New Roman" w:hAnsi="Times New Roman" w:eastAsia="Times New Roman" w:cs="Times New Roman"/>
          <w:sz w:val="22"/>
          <w:szCs w:val="22"/>
        </w:rPr>
      </w:r>
      <w:bookmarkStart w:id="154" w:name="_Ref186120147"/>
      <w:r>
        <w:rPr>
          <w:rFonts w:ascii="Times New Roman" w:hAnsi="Times New Roman" w:eastAsia="Times New Roman" w:cs="Times New Roman"/>
          <w:sz w:val="22"/>
          <w:szCs w:val="22"/>
        </w:rPr>
      </w:r>
      <w:bookmarkStart w:id="155" w:name="_Toc186224040"/>
      <w:r>
        <w:rPr>
          <w:rFonts w:ascii="Times New Roman" w:hAnsi="Times New Roman" w:eastAsia="Times New Roman" w:cs="Times New Roman"/>
          <w:sz w:val="22"/>
          <w:szCs w:val="22"/>
        </w:rPr>
        <w:t xml:space="preserve">Применение </w:t>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t xml:space="preserve"> законодательства о национальном режиме</w:t>
      </w:r>
      <w:bookmarkEnd w:id="154"/>
      <w:r>
        <w:rPr>
          <w:rFonts w:ascii="Times New Roman" w:hAnsi="Times New Roman" w:eastAsia="Times New Roman" w:cs="Times New Roman"/>
          <w:sz w:val="22"/>
          <w:szCs w:val="22"/>
        </w:rPr>
      </w:r>
      <w:bookmarkEnd w:id="15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w:t>
      </w:r>
      <w:r>
        <w:rPr>
          <w:rFonts w:ascii="Times New Roman" w:hAnsi="Times New Roman" w:eastAsia="Times New Roman" w:cs="Times New Roman"/>
          <w:sz w:val="22"/>
          <w:szCs w:val="22"/>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2"/>
          <w:szCs w:val="22"/>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181"/>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62" w:name="_Ref125362658"/>
      <w:r>
        <w:rPr>
          <w:rFonts w:ascii="Times New Roman" w:hAnsi="Times New Roman" w:eastAsia="Times New Roman" w:cs="Times New Roman"/>
          <w:sz w:val="22"/>
          <w:szCs w:val="22"/>
        </w:rPr>
      </w:r>
      <w:bookmarkStart w:id="163" w:name="_Ref125366091"/>
      <w:r>
        <w:rPr>
          <w:rFonts w:ascii="Times New Roman" w:hAnsi="Times New Roman" w:eastAsia="Times New Roman" w:cs="Times New Roman"/>
          <w:sz w:val="22"/>
          <w:szCs w:val="22"/>
        </w:rPr>
      </w:r>
      <w:bookmarkStart w:id="164" w:name="_Ref125367242"/>
      <w:r>
        <w:rPr>
          <w:rFonts w:ascii="Times New Roman" w:hAnsi="Times New Roman" w:eastAsia="Times New Roman" w:cs="Times New Roman"/>
          <w:sz w:val="22"/>
          <w:szCs w:val="22"/>
        </w:rPr>
      </w:r>
      <w:bookmarkStart w:id="165" w:name="_Toc18622404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eastAsia="Times New Roman" w:cs="Times New Roman"/>
          <w:sz w:val="22"/>
          <w:szCs w:val="22"/>
        </w:rPr>
      </w:r>
      <w:bookmarkEnd w:id="16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w:t>
      </w:r>
      <w:r>
        <w:rPr>
          <w:rFonts w:ascii="Times New Roman" w:hAnsi="Times New Roman" w:eastAsia="Times New Roman" w:cs="Times New Roman"/>
          <w:sz w:val="22"/>
          <w:szCs w:val="22"/>
        </w:rPr>
        <w:t xml:space="preserve">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166"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181"/>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66"/>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170"/>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указанием, в том числе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порядковые номера каж</w:t>
      </w:r>
      <w:r>
        <w:rPr>
          <w:rFonts w:ascii="Times New Roman" w:hAnsi="Times New Roman" w:eastAsia="Times New Roman" w:cs="Times New Roman"/>
          <w:sz w:val="22"/>
          <w:szCs w:val="22"/>
        </w:rP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2"/>
          <w:szCs w:val="22"/>
        </w:rPr>
        <w:t xml:space="preserve">например, вследствие уклонения Победителя 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67" w:name="_Ref125364149"/>
      <w:r>
        <w:rPr>
          <w:rFonts w:ascii="Times New Roman" w:hAnsi="Times New Roman" w:eastAsia="Times New Roman" w:cs="Times New Roman"/>
          <w:sz w:val="22"/>
          <w:szCs w:val="22"/>
        </w:rPr>
      </w:r>
      <w:bookmarkStart w:id="168" w:name="_Ref125364187"/>
      <w:r>
        <w:rPr>
          <w:rFonts w:ascii="Times New Roman" w:hAnsi="Times New Roman" w:eastAsia="Times New Roman" w:cs="Times New Roman"/>
          <w:sz w:val="22"/>
          <w:szCs w:val="22"/>
        </w:rPr>
      </w:r>
      <w:bookmarkStart w:id="169" w:name="_Ref125365305"/>
      <w:r>
        <w:rPr>
          <w:rFonts w:ascii="Times New Roman" w:hAnsi="Times New Roman" w:eastAsia="Times New Roman" w:cs="Times New Roman"/>
          <w:sz w:val="22"/>
          <w:szCs w:val="22"/>
        </w:rPr>
      </w:r>
      <w:bookmarkStart w:id="170" w:name="_Ref125365570"/>
      <w:r>
        <w:rPr>
          <w:rFonts w:ascii="Times New Roman" w:hAnsi="Times New Roman" w:eastAsia="Times New Roman" w:cs="Times New Roman"/>
          <w:sz w:val="22"/>
          <w:szCs w:val="22"/>
        </w:rPr>
      </w:r>
      <w:bookmarkStart w:id="171" w:name="_Ref125366631"/>
      <w:r>
        <w:rPr>
          <w:rFonts w:ascii="Times New Roman" w:hAnsi="Times New Roman" w:eastAsia="Times New Roman" w:cs="Times New Roman"/>
          <w:sz w:val="22"/>
          <w:szCs w:val="22"/>
        </w:rPr>
      </w:r>
      <w:bookmarkStart w:id="172" w:name="_Ref125366796"/>
      <w:r>
        <w:rPr>
          <w:rFonts w:ascii="Times New Roman" w:hAnsi="Times New Roman" w:eastAsia="Times New Roman" w:cs="Times New Roman"/>
          <w:sz w:val="22"/>
          <w:szCs w:val="22"/>
        </w:rPr>
      </w:r>
      <w:bookmarkStart w:id="173" w:name="_Toc186224043"/>
      <w:r>
        <w:rPr>
          <w:rFonts w:ascii="Times New Roman" w:hAnsi="Times New Roman" w:eastAsia="Times New Roman" w:cs="Times New Roman"/>
          <w:sz w:val="22"/>
          <w:szCs w:val="22"/>
        </w:rPr>
        <w:t xml:space="preserve">Признание закупки несостоявшейся</w:t>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74" w:name="_Ref126141962"/>
      <w:r>
        <w:rPr>
          <w:rFonts w:ascii="Times New Roman" w:hAnsi="Times New Roman" w:eastAsia="Times New Roman" w:cs="Times New Roman"/>
          <w:sz w:val="22"/>
          <w:szCs w:val="22"/>
        </w:rPr>
      </w:r>
      <w:bookmarkStart w:id="175" w:name="_Toc186224044"/>
      <w:r>
        <w:rPr>
          <w:rFonts w:ascii="Times New Roman" w:hAnsi="Times New Roman" w:eastAsia="Times New Roman" w:cs="Times New Roman"/>
          <w:sz w:val="22"/>
          <w:szCs w:val="22"/>
        </w:rPr>
        <w:t xml:space="preserve">Отказ от проведения закупки</w:t>
      </w:r>
      <w:bookmarkEnd w:id="174"/>
      <w:r>
        <w:rPr>
          <w:rFonts w:ascii="Times New Roman" w:hAnsi="Times New Roman" w:eastAsia="Times New Roman" w:cs="Times New Roman"/>
          <w:sz w:val="22"/>
          <w:szCs w:val="22"/>
        </w:rPr>
        <w:t xml:space="preserve"> (отмена закупки)</w:t>
      </w:r>
      <w:bookmarkEnd w:id="175"/>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Pr>
          <w:rFonts w:ascii="Times New Roman" w:hAnsi="Times New Roman" w:eastAsia="Times New Roman" w:cs="Times New Roman"/>
          <w:sz w:val="22"/>
          <w:szCs w:val="22"/>
        </w:rPr>
        <w:t xml:space="preserve">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76" w:name="_Ref130455226"/>
      <w:r>
        <w:rPr>
          <w:rFonts w:ascii="Times New Roman" w:hAnsi="Times New Roman" w:eastAsia="Times New Roman" w:cs="Times New Roman"/>
          <w:sz w:val="22"/>
          <w:szCs w:val="22"/>
        </w:rPr>
      </w:r>
      <w:bookmarkStart w:id="177" w:name="_Ref130225422"/>
      <w:r>
        <w:rPr>
          <w:rFonts w:ascii="Times New Roman" w:hAnsi="Times New Roman" w:eastAsia="Times New Roman" w:cs="Times New Roman"/>
          <w:sz w:val="22"/>
          <w:szCs w:val="22"/>
        </w:rPr>
      </w:r>
      <w:bookmarkStart w:id="178" w:name="_Ref125361212"/>
      <w:r>
        <w:rPr>
          <w:rFonts w:ascii="Times New Roman" w:hAnsi="Times New Roman" w:eastAsia="Times New Roman" w:cs="Times New Roman"/>
          <w:sz w:val="22"/>
          <w:szCs w:val="22"/>
        </w:rPr>
      </w:r>
      <w:bookmarkStart w:id="179" w:name="_Ref125362671"/>
      <w:r>
        <w:rPr>
          <w:rFonts w:ascii="Times New Roman" w:hAnsi="Times New Roman" w:eastAsia="Times New Roman" w:cs="Times New Roman"/>
          <w:sz w:val="22"/>
          <w:szCs w:val="22"/>
        </w:rPr>
      </w:r>
      <w:bookmarkStart w:id="180" w:name="_Ref125363439"/>
      <w:r>
        <w:rPr>
          <w:rFonts w:ascii="Times New Roman" w:hAnsi="Times New Roman" w:eastAsia="Times New Roman" w:cs="Times New Roman"/>
          <w:sz w:val="22"/>
          <w:szCs w:val="22"/>
        </w:rPr>
      </w:r>
      <w:bookmarkStart w:id="181" w:name="_Ref125366769"/>
      <w:r>
        <w:rPr>
          <w:rFonts w:ascii="Times New Roman" w:hAnsi="Times New Roman" w:eastAsia="Times New Roman" w:cs="Times New Roman"/>
          <w:sz w:val="22"/>
          <w:szCs w:val="22"/>
        </w:rPr>
      </w:r>
      <w:bookmarkStart w:id="182" w:name="_Ref125367083"/>
      <w:r>
        <w:rPr>
          <w:rFonts w:ascii="Times New Roman" w:hAnsi="Times New Roman" w:eastAsia="Times New Roman" w:cs="Times New Roman"/>
          <w:sz w:val="22"/>
          <w:szCs w:val="22"/>
        </w:rPr>
      </w:r>
      <w:bookmarkStart w:id="183" w:name="_Ref125367087"/>
      <w:r>
        <w:rPr>
          <w:rFonts w:ascii="Times New Roman" w:hAnsi="Times New Roman" w:eastAsia="Times New Roman" w:cs="Times New Roman"/>
          <w:sz w:val="22"/>
          <w:szCs w:val="22"/>
        </w:rPr>
      </w:r>
      <w:bookmarkStart w:id="184" w:name="_Toc186224045"/>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76"/>
      <w:r>
        <w:rPr>
          <w:rFonts w:ascii="Times New Roman" w:hAnsi="Times New Roman" w:eastAsia="Times New Roman" w:cs="Times New Roman"/>
          <w:sz w:val="22"/>
          <w:szCs w:val="22"/>
        </w:rPr>
      </w:r>
      <w:bookmarkEnd w:id="18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_Ref149317346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w:t>
      </w:r>
      <w:r>
        <w:rPr>
          <w:rFonts w:ascii="Times New Roman" w:hAnsi="Times New Roman" w:eastAsia="Times New Roman" w:cs="Times New Roman"/>
          <w:sz w:val="22"/>
          <w:szCs w:val="22"/>
        </w:rPr>
        <w:t xml:space="preserve">заявки </w:t>
      </w:r>
      <w:r>
        <w:rPr>
          <w:rFonts w:ascii="Times New Roman" w:hAnsi="Times New Roman" w:eastAsia="Times New Roman" w:cs="Times New Roman"/>
          <w:sz w:val="22"/>
          <w:szCs w:val="22"/>
        </w:rPr>
        <w:t xml:space="preserve">с альтернативными предложениями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4.20</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размер обеспечения </w:t>
      </w:r>
      <w:r>
        <w:rPr>
          <w:rFonts w:ascii="Times New Roman" w:hAnsi="Times New Roman" w:eastAsia="Times New Roman" w:cs="Times New Roman"/>
          <w:sz w:val="22"/>
          <w:szCs w:val="22"/>
        </w:rPr>
        <w:t xml:space="preserve">заявки не увеличивается, а сумма обеспечения покрывает обязательства Участника как в отношении основного предложения, так</w:t>
      </w:r>
      <w:r>
        <w:rPr>
          <w:rFonts w:ascii="Times New Roman" w:hAnsi="Times New Roman" w:eastAsia="Times New Roman" w:cs="Times New Roman"/>
          <w:sz w:val="22"/>
          <w:szCs w:val="22"/>
        </w:rPr>
        <w:t xml:space="preserve"> и всех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85" w:name="_Ref149317346"/>
      <w:r>
        <w:rPr>
          <w:rFonts w:ascii="Times New Roman" w:hAnsi="Times New Roman" w:eastAsia="Times New Roman" w:cs="Times New Roman"/>
          <w:sz w:val="22"/>
          <w:szCs w:val="22"/>
        </w:rPr>
      </w:r>
      <w:bookmarkStart w:id="186" w:name="_Toc186224046"/>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77"/>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r>
      <w:bookmarkEnd w:id="18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87" w:name="_Ref125550863"/>
      <w:r>
        <w:rPr>
          <w:rFonts w:ascii="Times New Roman" w:hAnsi="Times New Roman" w:eastAsia="Times New Roman" w:cs="Times New Roman"/>
          <w:sz w:val="22"/>
          <w:szCs w:val="22"/>
        </w:rPr>
      </w:r>
      <w:bookmarkStart w:id="188" w:name="_Toc186224047"/>
      <w:r>
        <w:rPr>
          <w:rFonts w:ascii="Times New Roman" w:hAnsi="Times New Roman" w:eastAsia="Times New Roman" w:cs="Times New Roman"/>
          <w:sz w:val="22"/>
          <w:szCs w:val="22"/>
        </w:rPr>
        <w:t xml:space="preserve">Особенности проведения закупки с возможностью</w:t>
      </w:r>
      <w:r>
        <w:rPr>
          <w:rFonts w:ascii="Times New Roman" w:hAnsi="Times New Roman" w:eastAsia="Times New Roman" w:cs="Times New Roman"/>
          <w:sz w:val="22"/>
          <w:szCs w:val="22"/>
        </w:rPr>
        <w:t xml:space="preserve"> подачи а</w:t>
      </w:r>
      <w:r>
        <w:rPr>
          <w:rFonts w:ascii="Times New Roman" w:hAnsi="Times New Roman" w:eastAsia="Times New Roman" w:cs="Times New Roman"/>
          <w:sz w:val="22"/>
          <w:szCs w:val="22"/>
        </w:rPr>
        <w:t xml:space="preserve">льтернативны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й</w:t>
      </w:r>
      <w:bookmarkEnd w:id="187"/>
      <w:r>
        <w:rPr>
          <w:rFonts w:ascii="Times New Roman" w:hAnsi="Times New Roman" w:eastAsia="Times New Roman" w:cs="Times New Roman"/>
          <w:sz w:val="22"/>
          <w:szCs w:val="22"/>
        </w:rPr>
      </w:r>
      <w:bookmarkEnd w:id="18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Pr>
          <w:rFonts w:ascii="Times New Roman" w:hAnsi="Times New Roman" w:eastAsia="Times New Roman" w:cs="Times New Roman"/>
          <w:sz w:val="22"/>
          <w:szCs w:val="22"/>
        </w:rPr>
        <w:t xml:space="preserve">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 том, что участник имеет право подать только одну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альтернативным предложениям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относ</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 отношении такого лота подлежит отклонению).</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Альтернативные предложения могут сопровождаться</w:t>
      </w:r>
      <w:r>
        <w:rPr>
          <w:rFonts w:ascii="Times New Roman" w:hAnsi="Times New Roman" w:eastAsia="Times New Roman" w:cs="Times New Roman"/>
          <w:sz w:val="22"/>
          <w:szCs w:val="22"/>
        </w:rPr>
        <w:t xml:space="preserve"> альтернативными ценами</w:t>
      </w:r>
      <w:r>
        <w:rPr>
          <w:rFonts w:ascii="Times New Roman" w:hAnsi="Times New Roman" w:eastAsia="Times New Roman" w:cs="Times New Roman"/>
          <w:sz w:val="22"/>
          <w:szCs w:val="22"/>
        </w:rPr>
        <w:t xml:space="preserve"> (не превышающи</w:t>
      </w:r>
      <w:r>
        <w:rPr>
          <w:rFonts w:ascii="Times New Roman" w:hAnsi="Times New Roman" w:eastAsia="Times New Roman" w:cs="Times New Roman"/>
          <w:sz w:val="22"/>
          <w:szCs w:val="22"/>
        </w:rPr>
        <w:t xml:space="preserve">ми</w:t>
      </w:r>
      <w:r>
        <w:rPr>
          <w:rFonts w:ascii="Times New Roman" w:hAnsi="Times New Roman" w:eastAsia="Times New Roman" w:cs="Times New Roman"/>
          <w:sz w:val="22"/>
          <w:szCs w:val="22"/>
        </w:rPr>
        <w:t xml:space="preserve"> НМЦ, установленную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альтернативные предложения, по сути отличающиеся от основного только ценой, рассматриваться не будут.</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Pr>
          <w:rFonts w:ascii="Times New Roman" w:hAnsi="Times New Roman" w:eastAsia="Times New Roman" w:cs="Times New Roman"/>
          <w:sz w:val="22"/>
          <w:szCs w:val="22"/>
        </w:rPr>
        <w:t xml:space="preserve">быть представлены соответствующие измененные формы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w:t>
      </w:r>
      <w:r>
        <w:rPr>
          <w:rFonts w:ascii="Times New Roman" w:hAnsi="Times New Roman" w:eastAsia="Times New Roman" w:cs="Times New Roman"/>
          <w:sz w:val="22"/>
          <w:szCs w:val="22"/>
        </w:rP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следует дублировать документы, подтверждающие соответствие Участника </w:t>
      </w:r>
      <w:r>
        <w:rPr>
          <w:rFonts w:ascii="Times New Roman" w:hAnsi="Times New Roman" w:eastAsia="Times New Roman" w:cs="Times New Roman"/>
          <w:sz w:val="22"/>
          <w:szCs w:val="22"/>
        </w:rPr>
        <w:t xml:space="preserve">установленным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а также формы заявки,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отличаются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 основного предложения.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переторжки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альтернативные предложения Участников допускаются к ней наравне с основными предложениями.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Решения Закупочной комиссии по рассмотрению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оценке</w:t>
      </w:r>
      <w:r>
        <w:rPr>
          <w:rFonts w:ascii="Times New Roman" w:hAnsi="Times New Roman" w:eastAsia="Times New Roman" w:cs="Times New Roman"/>
          <w:sz w:val="22"/>
          <w:szCs w:val="22"/>
        </w:rPr>
        <w:t xml:space="preserve"> и сопоставлению</w:t>
      </w:r>
      <w:r>
        <w:rPr>
          <w:rFonts w:ascii="Times New Roman" w:hAnsi="Times New Roman" w:eastAsia="Times New Roman" w:cs="Times New Roman"/>
          <w:sz w:val="22"/>
          <w:szCs w:val="22"/>
        </w:rP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является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альтернативных предложений</w:t>
      </w:r>
      <w:r>
        <w:rPr>
          <w:rFonts w:ascii="Times New Roman" w:hAnsi="Times New Roman" w:eastAsia="Times New Roman" w:cs="Times New Roman"/>
          <w:sz w:val="22"/>
          <w:szCs w:val="22"/>
        </w:rPr>
        <w:t xml:space="preserve"> и наоборот</w:t>
      </w:r>
      <w:r>
        <w:rPr>
          <w:rFonts w:ascii="Times New Roman" w:hAnsi="Times New Roman" w:eastAsia="Times New Roman" w:cs="Times New Roman"/>
          <w:sz w:val="22"/>
          <w:szCs w:val="22"/>
        </w:rPr>
        <w:t xml:space="preserve">. При формировании ранжировки заявок альтернативные предложения ранжируются отдельно (наравне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основными предложениями),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присвоением каждому предложению отдельного места в ранжировке.</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193" w:name="_Ref126142429"/>
      <w:r>
        <w:rPr>
          <w:rFonts w:ascii="Times New Roman" w:hAnsi="Times New Roman" w:eastAsia="Times New Roman" w:cs="Times New Roman"/>
          <w:sz w:val="22"/>
          <w:szCs w:val="22"/>
        </w:rPr>
      </w:r>
      <w:bookmarkStart w:id="194" w:name="_Ref130224037"/>
      <w:r>
        <w:rPr>
          <w:rFonts w:ascii="Times New Roman" w:hAnsi="Times New Roman" w:eastAsia="Times New Roman" w:cs="Times New Roman"/>
          <w:sz w:val="22"/>
          <w:szCs w:val="22"/>
        </w:rPr>
      </w:r>
      <w:bookmarkStart w:id="195" w:name="_Toc186224049"/>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eastAsia="Times New Roman" w:cs="Times New Roman"/>
          <w:sz w:val="22"/>
          <w:szCs w:val="22"/>
        </w:rPr>
      </w:r>
      <w:bookmarkEnd w:id="195"/>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196" w:name="_Ref139028625"/>
      <w:r>
        <w:rPr>
          <w:rFonts w:ascii="Times New Roman" w:hAnsi="Times New Roman" w:eastAsia="Times New Roman" w:cs="Times New Roman"/>
          <w:sz w:val="22"/>
          <w:szCs w:val="22"/>
        </w:rPr>
      </w:r>
      <w:bookmarkStart w:id="197" w:name="_Ref125366947"/>
      <w:r>
        <w:rPr>
          <w:rFonts w:ascii="Times New Roman" w:hAnsi="Times New Roman" w:eastAsia="Times New Roman" w:cs="Times New Roman"/>
          <w:sz w:val="22"/>
          <w:szCs w:val="22"/>
        </w:rPr>
      </w:r>
      <w:bookmarkStart w:id="198" w:name="_Ref125368755"/>
      <w:r>
        <w:rPr>
          <w:rFonts w:ascii="Times New Roman" w:hAnsi="Times New Roman" w:eastAsia="Times New Roman" w:cs="Times New Roman"/>
          <w:sz w:val="22"/>
          <w:szCs w:val="22"/>
        </w:rPr>
      </w:r>
      <w:bookmarkStart w:id="199" w:name="_Ref135736094"/>
      <w:r>
        <w:rPr>
          <w:rFonts w:ascii="Times New Roman" w:hAnsi="Times New Roman" w:eastAsia="Times New Roman" w:cs="Times New Roman"/>
          <w:sz w:val="22"/>
          <w:szCs w:val="22"/>
        </w:rPr>
      </w:r>
      <w:bookmarkStart w:id="200" w:name="_Toc186224050"/>
      <w:r>
        <w:rPr>
          <w:rFonts w:ascii="Times New Roman" w:hAnsi="Times New Roman" w:eastAsia="Times New Roman" w:cs="Times New Roman"/>
          <w:sz w:val="22"/>
          <w:szCs w:val="22"/>
        </w:rPr>
        <w:t xml:space="preserve">Общие положения</w:t>
      </w:r>
      <w:bookmarkEnd w:id="196"/>
      <w:r>
        <w:rPr>
          <w:rFonts w:ascii="Times New Roman" w:hAnsi="Times New Roman" w:eastAsia="Times New Roman" w:cs="Times New Roman"/>
          <w:sz w:val="22"/>
          <w:szCs w:val="22"/>
        </w:rPr>
      </w:r>
      <w:bookmarkEnd w:id="20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01" w:name="_Ref138232981"/>
      <w:r>
        <w:rPr>
          <w:rFonts w:ascii="Times New Roman" w:hAnsi="Times New Roman" w:eastAsia="Times New Roman" w:cs="Times New Roman"/>
          <w:sz w:val="22"/>
          <w:szCs w:val="22"/>
        </w:rPr>
      </w:r>
      <w:bookmarkStart w:id="202" w:name="_Toc186224051"/>
      <w:r>
        <w:rPr>
          <w:rFonts w:ascii="Times New Roman" w:hAnsi="Times New Roman" w:eastAsia="Times New Roman" w:cs="Times New Roman"/>
          <w:sz w:val="22"/>
          <w:szCs w:val="22"/>
        </w:rPr>
        <w:t xml:space="preserve">Заключение Договора</w:t>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1"/>
      <w:r>
        <w:rPr>
          <w:rFonts w:ascii="Times New Roman" w:hAnsi="Times New Roman" w:eastAsia="Times New Roman" w:cs="Times New Roman"/>
          <w:sz w:val="22"/>
          <w:szCs w:val="22"/>
        </w:rPr>
      </w:r>
      <w:bookmarkEnd w:id="202"/>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5362935"/>
      <w:r>
        <w:rPr>
          <w:rFonts w:ascii="Times New Roman" w:hAnsi="Times New Roman" w:eastAsia="Times New Roman" w:cs="Times New Roman"/>
          <w:sz w:val="22"/>
          <w:szCs w:val="22"/>
        </w:rPr>
      </w:r>
      <w:bookmarkStart w:id="20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03"/>
      <w:r>
        <w:rPr>
          <w:rFonts w:ascii="Times New Roman" w:hAnsi="Times New Roman" w:eastAsia="Times New Roman" w:cs="Times New Roman"/>
          <w:sz w:val="22"/>
          <w:szCs w:val="22"/>
        </w:rPr>
      </w:r>
      <w:bookmarkEnd w:id="20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0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Приложением №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05"/>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206" w:name="_Ref125551776"/>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06"/>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Приложением №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207" w:name="_Ref125552642"/>
      <w:r>
        <w:rPr>
          <w:rFonts w:ascii="Times New Roman" w:hAnsi="Times New Roman" w:eastAsia="Times New Roman" w:cs="Times New Roman"/>
          <w:sz w:val="22"/>
          <w:szCs w:val="22"/>
        </w:rPr>
        <w:t xml:space="preserve">если он принимал участие в переторжке</w:t>
      </w:r>
      <w:r>
        <w:rPr>
          <w:rFonts w:ascii="Times New Roman" w:hAnsi="Times New Roman" w:eastAsia="Times New Roman" w:cs="Times New Roman"/>
          <w:sz w:val="22"/>
          <w:szCs w:val="22"/>
        </w:rPr>
        <w:t xml:space="preserve"> в очной форме</w:t>
      </w:r>
      <w:r>
        <w:rPr>
          <w:rFonts w:ascii="Times New Roman" w:hAnsi="Times New Roman" w:eastAsia="Times New Roman" w:cs="Times New Roman"/>
          <w:sz w:val="22"/>
          <w:szCs w:val="22"/>
        </w:rPr>
        <w:t xml:space="preserve"> – документы</w:t>
      </w:r>
      <w:r>
        <w:rPr>
          <w:rFonts w:ascii="Times New Roman" w:hAnsi="Times New Roman" w:eastAsia="Times New Roman" w:cs="Times New Roman"/>
          <w:sz w:val="22"/>
          <w:szCs w:val="22"/>
        </w:rPr>
        <w:t xml:space="preserve"> своей заявки, подлежащие корректировке в строгом соответствии с его предложениями, </w:t>
      </w:r>
      <w:r>
        <w:rPr>
          <w:rFonts w:ascii="Times New Roman" w:hAnsi="Times New Roman" w:eastAsia="Times New Roman" w:cs="Times New Roman"/>
          <w:sz w:val="22"/>
          <w:szCs w:val="22"/>
        </w:rPr>
        <w:t xml:space="preserve">заявленными в ходе проведения переторжки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0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20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181"/>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w:t>
      </w:r>
      <w:bookmarkEnd w:id="208"/>
      <w:r>
        <w:rPr>
          <w:rFonts w:ascii="Times New Roman" w:hAnsi="Times New Roman" w:cs="Times New Roman"/>
          <w:sz w:val="22"/>
          <w:szCs w:val="22"/>
        </w:rPr>
      </w:r>
      <w:r>
        <w:rPr>
          <w:rFonts w:ascii="Times New Roman" w:hAnsi="Times New Roman" w:cs="Times New Roman"/>
          <w:sz w:val="22"/>
          <w:szCs w:val="22"/>
        </w:rPr>
      </w:r>
    </w:p>
    <w:p>
      <w:pPr>
        <w:pStyle w:val="1170"/>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r>
      <w:bookmarkStart w:id="20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09"/>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171"/>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21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10"/>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1"/>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1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12"/>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552524"/>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1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14" w:name="_Ref125552570"/>
      <w:r>
        <w:rPr>
          <w:rFonts w:ascii="Times New Roman" w:hAnsi="Times New Roman" w:eastAsia="Times New Roman" w:cs="Times New Roman"/>
          <w:sz w:val="22"/>
          <w:szCs w:val="22"/>
        </w:rPr>
      </w:r>
      <w:bookmarkStart w:id="215" w:name="_Toc186224052"/>
      <w:r>
        <w:rPr>
          <w:rFonts w:ascii="Times New Roman" w:hAnsi="Times New Roman" w:eastAsia="Times New Roman" w:cs="Times New Roman"/>
          <w:sz w:val="22"/>
          <w:szCs w:val="22"/>
        </w:rPr>
        <w:t xml:space="preserve">Преддоговорные переговоры</w:t>
      </w:r>
      <w:bookmarkEnd w:id="214"/>
      <w:r>
        <w:rPr>
          <w:rFonts w:ascii="Times New Roman" w:hAnsi="Times New Roman" w:eastAsia="Times New Roman" w:cs="Times New Roman"/>
          <w:sz w:val="22"/>
          <w:szCs w:val="22"/>
        </w:rPr>
      </w:r>
      <w:bookmarkEnd w:id="215"/>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181"/>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16" w:name="_Ref125367068"/>
      <w:r>
        <w:rPr>
          <w:rFonts w:ascii="Times New Roman" w:hAnsi="Times New Roman" w:eastAsia="Times New Roman" w:cs="Times New Roman"/>
          <w:sz w:val="22"/>
          <w:szCs w:val="22"/>
        </w:rPr>
      </w:r>
      <w:bookmarkStart w:id="217" w:name="_Toc186224053"/>
      <w:r>
        <w:rPr>
          <w:rFonts w:ascii="Times New Roman" w:hAnsi="Times New Roman" w:eastAsia="Times New Roman" w:cs="Times New Roman"/>
          <w:sz w:val="22"/>
          <w:szCs w:val="22"/>
        </w:rPr>
        <w:t xml:space="preserve">Уклонение Победителя от заключения Договора</w:t>
      </w:r>
      <w:bookmarkEnd w:id="216"/>
      <w:r>
        <w:rPr>
          <w:rFonts w:ascii="Times New Roman" w:hAnsi="Times New Roman" w:eastAsia="Times New Roman" w:cs="Times New Roman"/>
          <w:sz w:val="22"/>
          <w:szCs w:val="22"/>
        </w:rPr>
      </w:r>
      <w:bookmarkEnd w:id="217"/>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Заверение об обстоятельствах, </w:t>
      </w:r>
      <w:r>
        <w:rPr>
          <w:rFonts w:ascii="Times New Roman" w:hAnsi="Times New Roman" w:eastAsia="Times New Roman" w:cs="Times New Roman"/>
          <w:sz w:val="22"/>
          <w:szCs w:val="22"/>
        </w:rPr>
        <w:t xml:space="preserve">представляющ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97"/>
            <w:rFonts w:ascii="Times New Roman" w:hAnsi="Times New Roman" w:eastAsia="Times New Roman" w:cs="Times New Roman"/>
            <w:sz w:val="22"/>
            <w:szCs w:val="22"/>
          </w:rPr>
          <w:t xml:space="preserve">Приложением № </w:t>
        </w:r>
        <w:r>
          <w:rPr>
            <w:rStyle w:val="1197"/>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_Ref125551776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Приложения №</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1 </w:t>
        </w:r>
        <w:r>
          <w:rPr>
            <w:rStyle w:val="1197"/>
            <w:rFonts w:ascii="Times New Roman" w:hAnsi="Times New Roman" w:eastAsia="Times New Roman" w:cs="Times New Roman"/>
            <w:sz w:val="22"/>
            <w:szCs w:val="22"/>
          </w:rPr>
          <w:t xml:space="preserve">– </w:t>
        </w:r>
        <w:r>
          <w:rPr>
            <w:rStyle w:val="1197"/>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0"/>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73"/>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218" w:name="_Ref125363016"/>
      <w:r>
        <w:rPr>
          <w:rFonts w:ascii="Times New Roman" w:hAnsi="Times New Roman" w:eastAsia="Times New Roman" w:cs="Times New Roman"/>
          <w:sz w:val="22"/>
          <w:szCs w:val="22"/>
        </w:rPr>
      </w:r>
      <w:bookmarkStart w:id="219" w:name="_Ref125363023"/>
      <w:r>
        <w:rPr>
          <w:rFonts w:ascii="Times New Roman" w:hAnsi="Times New Roman" w:eastAsia="Times New Roman" w:cs="Times New Roman"/>
          <w:sz w:val="22"/>
          <w:szCs w:val="22"/>
        </w:rPr>
      </w:r>
      <w:bookmarkStart w:id="220" w:name="_Ref125363034"/>
      <w:r>
        <w:rPr>
          <w:rFonts w:ascii="Times New Roman" w:hAnsi="Times New Roman" w:eastAsia="Times New Roman" w:cs="Times New Roman"/>
          <w:sz w:val="22"/>
          <w:szCs w:val="22"/>
        </w:rPr>
      </w:r>
      <w:bookmarkStart w:id="221" w:name="_Ref125363600"/>
      <w:r>
        <w:rPr>
          <w:rFonts w:ascii="Times New Roman" w:hAnsi="Times New Roman" w:eastAsia="Times New Roman" w:cs="Times New Roman"/>
          <w:sz w:val="22"/>
          <w:szCs w:val="22"/>
        </w:rPr>
      </w:r>
      <w:bookmarkStart w:id="222" w:name="_Ref125363752"/>
      <w:r>
        <w:rPr>
          <w:rFonts w:ascii="Times New Roman" w:hAnsi="Times New Roman" w:eastAsia="Times New Roman" w:cs="Times New Roman"/>
          <w:sz w:val="22"/>
          <w:szCs w:val="22"/>
        </w:rPr>
      </w:r>
      <w:bookmarkStart w:id="223" w:name="_Ref125364088"/>
      <w:r>
        <w:rPr>
          <w:rFonts w:ascii="Times New Roman" w:hAnsi="Times New Roman" w:eastAsia="Times New Roman" w:cs="Times New Roman"/>
          <w:sz w:val="22"/>
          <w:szCs w:val="22"/>
        </w:rPr>
      </w:r>
      <w:bookmarkStart w:id="224" w:name="_Ref125364201"/>
      <w:r>
        <w:rPr>
          <w:rFonts w:ascii="Times New Roman" w:hAnsi="Times New Roman" w:eastAsia="Times New Roman" w:cs="Times New Roman"/>
          <w:sz w:val="22"/>
          <w:szCs w:val="22"/>
        </w:rPr>
      </w:r>
      <w:bookmarkStart w:id="225" w:name="_Ref125370732"/>
      <w:r>
        <w:rPr>
          <w:rFonts w:ascii="Times New Roman" w:hAnsi="Times New Roman" w:eastAsia="Times New Roman" w:cs="Times New Roman"/>
          <w:sz w:val="22"/>
          <w:szCs w:val="22"/>
        </w:rPr>
      </w:r>
      <w:bookmarkStart w:id="226" w:name="_Ref125370741"/>
      <w:r>
        <w:rPr>
          <w:rFonts w:ascii="Times New Roman" w:hAnsi="Times New Roman" w:eastAsia="Times New Roman" w:cs="Times New Roman"/>
          <w:sz w:val="22"/>
          <w:szCs w:val="22"/>
        </w:rPr>
      </w:r>
      <w:bookmarkStart w:id="227" w:name="_Ref125370746"/>
      <w:r>
        <w:rPr>
          <w:rFonts w:ascii="Times New Roman" w:hAnsi="Times New Roman" w:eastAsia="Times New Roman" w:cs="Times New Roman"/>
          <w:sz w:val="22"/>
          <w:szCs w:val="22"/>
        </w:rPr>
      </w:r>
      <w:bookmarkStart w:id="228" w:name="_Ref125370750"/>
      <w:r>
        <w:rPr>
          <w:rFonts w:ascii="Times New Roman" w:hAnsi="Times New Roman" w:eastAsia="Times New Roman" w:cs="Times New Roman"/>
          <w:sz w:val="22"/>
          <w:szCs w:val="22"/>
        </w:rPr>
      </w:r>
      <w:bookmarkStart w:id="229" w:name="_Ref125370843"/>
      <w:r>
        <w:rPr>
          <w:rFonts w:ascii="Times New Roman" w:hAnsi="Times New Roman" w:eastAsia="Times New Roman" w:cs="Times New Roman"/>
          <w:sz w:val="22"/>
          <w:szCs w:val="22"/>
        </w:rPr>
      </w:r>
      <w:bookmarkStart w:id="230" w:name="Прил01_ТехТребования"/>
      <w:r>
        <w:rPr>
          <w:rFonts w:ascii="Times New Roman" w:hAnsi="Times New Roman" w:eastAsia="Times New Roman" w:cs="Times New Roman"/>
          <w:sz w:val="22"/>
          <w:szCs w:val="22"/>
        </w:rPr>
      </w:r>
      <w:bookmarkStart w:id="231" w:name="_Toc186224054"/>
      <w:r>
        <w:rPr>
          <w:rFonts w:ascii="Times New Roman" w:hAnsi="Times New Roman" w:eastAsia="Times New Roman" w:cs="Times New Roman"/>
          <w:sz w:val="22"/>
          <w:szCs w:val="22"/>
        </w:rPr>
        <w:t xml:space="preserve">Приложение № 1 – Технические требования</w:t>
      </w:r>
      <w:bookmarkEnd w:id="218"/>
      <w:r>
        <w:rPr>
          <w:rFonts w:ascii="Times New Roman" w:hAnsi="Times New Roman" w:eastAsia="Times New Roman" w:cs="Times New Roman"/>
          <w:sz w:val="22"/>
          <w:szCs w:val="22"/>
        </w:rPr>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bookmarkEnd w:id="226"/>
      <w:r>
        <w:rPr>
          <w:rFonts w:ascii="Times New Roman" w:hAnsi="Times New Roman" w:eastAsia="Times New Roman" w:cs="Times New Roman"/>
          <w:sz w:val="22"/>
          <w:szCs w:val="22"/>
        </w:rPr>
      </w:r>
      <w:bookmarkEnd w:id="227"/>
      <w:r>
        <w:rPr>
          <w:rFonts w:ascii="Times New Roman" w:hAnsi="Times New Roman" w:eastAsia="Times New Roman" w:cs="Times New Roman"/>
          <w:sz w:val="22"/>
          <w:szCs w:val="22"/>
        </w:rPr>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eastAsia="Times New Roman" w:cs="Times New Roman"/>
          <w:sz w:val="22"/>
          <w:szCs w:val="22"/>
        </w:rPr>
      </w:r>
      <w:bookmarkEnd w:id="231"/>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32" w:name="_Toc186224055"/>
      <w:r>
        <w:rPr>
          <w:rFonts w:ascii="Times New Roman" w:hAnsi="Times New Roman" w:eastAsia="Times New Roman" w:cs="Times New Roman"/>
          <w:sz w:val="22"/>
          <w:szCs w:val="22"/>
        </w:rPr>
        <w:t xml:space="preserve">Пояснения к Техническим требованиям</w:t>
      </w:r>
      <w:bookmarkEnd w:id="232"/>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233" w:name="_Ref125361746"/>
      <w:r>
        <w:rPr>
          <w:rFonts w:ascii="Times New Roman" w:hAnsi="Times New Roman" w:eastAsia="Times New Roman" w:cs="Times New Roman"/>
          <w:sz w:val="22"/>
          <w:szCs w:val="22"/>
        </w:rPr>
      </w:r>
      <w:bookmarkStart w:id="234" w:name="_Ref125363040"/>
      <w:r>
        <w:rPr>
          <w:rFonts w:ascii="Times New Roman" w:hAnsi="Times New Roman" w:eastAsia="Times New Roman" w:cs="Times New Roman"/>
          <w:sz w:val="22"/>
          <w:szCs w:val="22"/>
        </w:rPr>
      </w:r>
      <w:bookmarkStart w:id="235" w:name="_Ref125363605"/>
      <w:r>
        <w:rPr>
          <w:rFonts w:ascii="Times New Roman" w:hAnsi="Times New Roman" w:eastAsia="Times New Roman" w:cs="Times New Roman"/>
          <w:sz w:val="22"/>
          <w:szCs w:val="22"/>
        </w:rPr>
      </w:r>
      <w:bookmarkStart w:id="236" w:name="_Ref125363759"/>
      <w:r>
        <w:rPr>
          <w:rFonts w:ascii="Times New Roman" w:hAnsi="Times New Roman" w:eastAsia="Times New Roman" w:cs="Times New Roman"/>
          <w:sz w:val="22"/>
          <w:szCs w:val="22"/>
        </w:rPr>
      </w:r>
      <w:bookmarkStart w:id="237" w:name="_Ref125364081"/>
      <w:r>
        <w:rPr>
          <w:rFonts w:ascii="Times New Roman" w:hAnsi="Times New Roman" w:eastAsia="Times New Roman" w:cs="Times New Roman"/>
          <w:sz w:val="22"/>
          <w:szCs w:val="22"/>
        </w:rPr>
      </w:r>
      <w:bookmarkStart w:id="238" w:name="_Ref125364206"/>
      <w:r>
        <w:rPr>
          <w:rFonts w:ascii="Times New Roman" w:hAnsi="Times New Roman" w:eastAsia="Times New Roman" w:cs="Times New Roman"/>
          <w:sz w:val="22"/>
          <w:szCs w:val="22"/>
        </w:rPr>
      </w:r>
      <w:bookmarkStart w:id="239" w:name="_Ref125370754"/>
      <w:r>
        <w:rPr>
          <w:rFonts w:ascii="Times New Roman" w:hAnsi="Times New Roman" w:eastAsia="Times New Roman" w:cs="Times New Roman"/>
          <w:sz w:val="22"/>
          <w:szCs w:val="22"/>
        </w:rPr>
      </w:r>
      <w:bookmarkStart w:id="240" w:name="Прил02_ПроектДоговора"/>
      <w:r>
        <w:rPr>
          <w:rFonts w:ascii="Times New Roman" w:hAnsi="Times New Roman" w:eastAsia="Times New Roman" w:cs="Times New Roman"/>
          <w:sz w:val="22"/>
          <w:szCs w:val="22"/>
        </w:rPr>
      </w:r>
      <w:bookmarkStart w:id="241" w:name="_Toc186224056"/>
      <w:r>
        <w:rPr>
          <w:rFonts w:ascii="Times New Roman" w:hAnsi="Times New Roman" w:eastAsia="Times New Roman" w:cs="Times New Roman"/>
          <w:sz w:val="22"/>
          <w:szCs w:val="22"/>
        </w:rPr>
        <w:t xml:space="preserve">Приложение № 2 – Проект договора</w:t>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bookmarkEnd w:id="241"/>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42" w:name="_Toc186224057"/>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42"/>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4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4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44" w:name="_MON_1736255517"/>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75pt;height:50.2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245" w:name="_Ref125361494"/>
      <w:r>
        <w:rPr>
          <w:rFonts w:ascii="Times New Roman" w:hAnsi="Times New Roman" w:eastAsia="Times New Roman" w:cs="Times New Roman"/>
          <w:sz w:val="22"/>
          <w:szCs w:val="22"/>
        </w:rPr>
      </w:r>
      <w:bookmarkStart w:id="246" w:name="_Ref125361908"/>
      <w:r>
        <w:rPr>
          <w:rFonts w:ascii="Times New Roman" w:hAnsi="Times New Roman" w:eastAsia="Times New Roman" w:cs="Times New Roman"/>
          <w:sz w:val="22"/>
          <w:szCs w:val="22"/>
        </w:rPr>
      </w:r>
      <w:bookmarkStart w:id="247" w:name="_Ref125365476"/>
      <w:r>
        <w:rPr>
          <w:rFonts w:ascii="Times New Roman" w:hAnsi="Times New Roman" w:eastAsia="Times New Roman" w:cs="Times New Roman"/>
          <w:sz w:val="22"/>
          <w:szCs w:val="22"/>
        </w:rPr>
      </w:r>
      <w:bookmarkStart w:id="248" w:name="_Ref125370013"/>
      <w:r>
        <w:rPr>
          <w:rFonts w:ascii="Times New Roman" w:hAnsi="Times New Roman" w:eastAsia="Times New Roman" w:cs="Times New Roman"/>
          <w:sz w:val="22"/>
          <w:szCs w:val="22"/>
        </w:rPr>
      </w:r>
      <w:bookmarkStart w:id="249" w:name="Прил03_ТребованияУчастникам"/>
      <w:r>
        <w:rPr>
          <w:rFonts w:ascii="Times New Roman" w:hAnsi="Times New Roman" w:eastAsia="Times New Roman" w:cs="Times New Roman"/>
          <w:sz w:val="22"/>
          <w:szCs w:val="22"/>
        </w:rPr>
      </w:r>
      <w:bookmarkStart w:id="250" w:name="_Toc186224058"/>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251" w:name="_Toc186224059"/>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51"/>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r>
      <w:bookmarkStart w:id="25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52"/>
      <w:r>
        <w:rPr>
          <w:rFonts w:ascii="Times New Roman" w:hAnsi="Times New Roman" w:cs="Times New Roman"/>
          <w:sz w:val="22"/>
          <w:szCs w:val="22"/>
        </w:rPr>
      </w:r>
      <w:r>
        <w:rPr>
          <w:rFonts w:ascii="Times New Roman" w:hAnsi="Times New Roman" w:cs="Times New Roman"/>
          <w:sz w:val="22"/>
          <w:szCs w:val="22"/>
        </w:rPr>
      </w:r>
    </w:p>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53" w:name="_Ref125361435"/>
      <w:r>
        <w:rPr>
          <w:rFonts w:ascii="Times New Roman" w:hAnsi="Times New Roman" w:eastAsia="Times New Roman" w:cs="Times New Roman"/>
          <w:sz w:val="22"/>
          <w:szCs w:val="22"/>
        </w:rPr>
      </w:r>
      <w:bookmarkStart w:id="254" w:name="_Ref125361590"/>
      <w:r>
        <w:rPr>
          <w:rFonts w:ascii="Times New Roman" w:hAnsi="Times New Roman" w:eastAsia="Times New Roman" w:cs="Times New Roman"/>
          <w:sz w:val="22"/>
          <w:szCs w:val="22"/>
        </w:rPr>
      </w:r>
      <w:bookmarkStart w:id="255" w:name="_Ref125361617"/>
      <w:r>
        <w:rPr>
          <w:rFonts w:ascii="Times New Roman" w:hAnsi="Times New Roman" w:eastAsia="Times New Roman" w:cs="Times New Roman"/>
          <w:sz w:val="22"/>
          <w:szCs w:val="22"/>
        </w:rPr>
      </w:r>
      <w:bookmarkStart w:id="256" w:name="_Ref125361832"/>
      <w:r>
        <w:rPr>
          <w:rFonts w:ascii="Times New Roman" w:hAnsi="Times New Roman" w:eastAsia="Times New Roman" w:cs="Times New Roman"/>
          <w:sz w:val="22"/>
          <w:szCs w:val="22"/>
        </w:rPr>
      </w:r>
      <w:bookmarkStart w:id="257" w:name="_Ref125361846"/>
      <w:r>
        <w:rPr>
          <w:rFonts w:ascii="Times New Roman" w:hAnsi="Times New Roman" w:eastAsia="Times New Roman" w:cs="Times New Roman"/>
          <w:sz w:val="22"/>
          <w:szCs w:val="22"/>
        </w:rPr>
      </w:r>
      <w:bookmarkStart w:id="258" w:name="_Ref125361926"/>
      <w:r>
        <w:rPr>
          <w:rFonts w:ascii="Times New Roman" w:hAnsi="Times New Roman" w:eastAsia="Times New Roman" w:cs="Times New Roman"/>
          <w:sz w:val="22"/>
          <w:szCs w:val="22"/>
        </w:rPr>
      </w:r>
      <w:bookmarkStart w:id="259" w:name="_Ref125366879"/>
      <w:r>
        <w:rPr>
          <w:rFonts w:ascii="Times New Roman" w:hAnsi="Times New Roman" w:eastAsia="Times New Roman" w:cs="Times New Roman"/>
          <w:sz w:val="22"/>
          <w:szCs w:val="22"/>
        </w:rPr>
      </w:r>
      <w:bookmarkStart w:id="260" w:name="_Ref125368812"/>
      <w:r>
        <w:rPr>
          <w:rFonts w:ascii="Times New Roman" w:hAnsi="Times New Roman" w:eastAsia="Times New Roman" w:cs="Times New Roman"/>
          <w:sz w:val="22"/>
          <w:szCs w:val="22"/>
        </w:rPr>
      </w:r>
      <w:bookmarkStart w:id="261" w:name="_Ref125368895"/>
      <w:r>
        <w:rPr>
          <w:rFonts w:ascii="Times New Roman" w:hAnsi="Times New Roman" w:eastAsia="Times New Roman" w:cs="Times New Roman"/>
          <w:sz w:val="22"/>
          <w:szCs w:val="22"/>
        </w:rPr>
      </w:r>
      <w:bookmarkStart w:id="262" w:name="_Ref125369088"/>
      <w:r>
        <w:rPr>
          <w:rFonts w:ascii="Times New Roman" w:hAnsi="Times New Roman" w:eastAsia="Times New Roman" w:cs="Times New Roman"/>
          <w:sz w:val="22"/>
          <w:szCs w:val="22"/>
        </w:rPr>
      </w:r>
      <w:bookmarkStart w:id="263" w:name="_Ref125370058"/>
      <w:r>
        <w:rPr>
          <w:rFonts w:ascii="Times New Roman" w:hAnsi="Times New Roman" w:eastAsia="Times New Roman" w:cs="Times New Roman"/>
          <w:sz w:val="22"/>
          <w:szCs w:val="22"/>
        </w:rPr>
      </w:r>
      <w:bookmarkStart w:id="264" w:name="_Ref125370064"/>
      <w:r>
        <w:rPr>
          <w:rFonts w:ascii="Times New Roman" w:hAnsi="Times New Roman" w:eastAsia="Times New Roman" w:cs="Times New Roman"/>
          <w:sz w:val="22"/>
          <w:szCs w:val="22"/>
        </w:rPr>
      </w:r>
      <w:bookmarkStart w:id="265" w:name="_Ref125370071"/>
      <w:r>
        <w:rPr>
          <w:rFonts w:ascii="Times New Roman" w:hAnsi="Times New Roman" w:eastAsia="Times New Roman" w:cs="Times New Roman"/>
          <w:sz w:val="22"/>
          <w:szCs w:val="22"/>
        </w:rPr>
      </w:r>
      <w:bookmarkStart w:id="266" w:name="_Toc186224060"/>
      <w:r>
        <w:rPr>
          <w:rFonts w:ascii="Times New Roman" w:hAnsi="Times New Roman" w:eastAsia="Times New Roman" w:cs="Times New Roman"/>
          <w:sz w:val="22"/>
          <w:szCs w:val="22"/>
        </w:rPr>
        <w:t xml:space="preserve">Обязательные требования</w:t>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eastAsia="Times New Roman" w:cs="Times New Roman"/>
          <w:sz w:val="22"/>
          <w:szCs w:val="22"/>
        </w:rPr>
      </w:r>
      <w:bookmarkEnd w:id="266"/>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Ref125552433"/>
            <w:r>
              <w:rPr>
                <w:rFonts w:ascii="Times New Roman" w:hAnsi="Times New Roman" w:eastAsia="Times New Roman" w:cs="Times New Roman"/>
                <w:sz w:val="22"/>
                <w:szCs w:val="22"/>
              </w:rPr>
            </w:r>
            <w:bookmarkEnd w:id="26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(файл в формате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1"/>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w:t>
            </w:r>
            <w:r>
              <w:rPr>
                <w:rFonts w:ascii="Times New Roman" w:hAnsi="Times New Roman" w:eastAsia="Times New Roman" w:cs="Times New Roman"/>
                <w:sz w:val="22"/>
                <w:szCs w:val="22"/>
              </w:rPr>
              <w:t xml:space="preserve">(форма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 </w:t>
            </w:r>
            <w:r>
              <w:rPr>
                <w:rFonts w:ascii="Times New Roman" w:hAnsi="Times New Roman" w:eastAsia="Times New Roman" w:cs="Times New Roman"/>
                <w:sz w:val="22"/>
                <w:szCs w:val="22"/>
              </w:rPr>
              <w:t xml:space="preserve">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ЗаявкаНаАккредитацию" w:anchor="Прил10_ЗаявкаНаАккредитацию" w:history="1">
              <w:r>
                <w:rPr>
                  <w:rStyle w:val="1197"/>
                  <w:rFonts w:ascii="Times New Roman" w:hAnsi="Times New Roman" w:eastAsia="Times New Roman" w:cs="Times New Roman"/>
                  <w:sz w:val="22"/>
                  <w:szCs w:val="22"/>
                </w:rPr>
                <w:t xml:space="preserve">Приложение № </w:t>
              </w:r>
              <w:r>
                <w:rPr>
                  <w:rStyle w:val="1197"/>
                  <w:rFonts w:ascii="Times New Roman" w:hAnsi="Times New Roman" w:eastAsia="Times New Roman" w:cs="Times New Roman"/>
                  <w:sz w:val="22"/>
                  <w:szCs w:val="22"/>
                </w:rPr>
                <w:t xml:space="preserve">1</w:t>
              </w:r>
              <w:r>
                <w:rPr>
                  <w:rStyle w:val="1197"/>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w:t>
            </w:r>
            <w:r>
              <w:rPr>
                <w:rFonts w:ascii="Times New Roman" w:hAnsi="Times New Roman" w:eastAsia="Times New Roman" w:cs="Times New Roman"/>
                <w:sz w:val="22"/>
                <w:szCs w:val="22"/>
              </w:rPr>
              <w:t xml:space="preserve">ранее</w:t>
            </w:r>
            <w:r>
              <w:rPr>
                <w:rFonts w:ascii="Times New Roman" w:hAnsi="Times New Roman" w:eastAsia="Times New Roman" w:cs="Times New Roman"/>
                <w:sz w:val="22"/>
                <w:szCs w:val="22"/>
              </w:rPr>
              <w:t xml:space="preserve"> направил</w:t>
            </w:r>
            <w:r>
              <w:rPr>
                <w:rFonts w:ascii="Times New Roman" w:hAnsi="Times New Roman" w:eastAsia="Times New Roman" w:cs="Times New Roman"/>
                <w:sz w:val="22"/>
                <w:szCs w:val="22"/>
              </w:rPr>
              <w:t xml:space="preserve"> Заявку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декларация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предоставление Заявки на аккредитацию не 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40"/>
              </w:numPr>
              <w:ind w:left="568"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отсутстви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w:t>
            </w:r>
            <w:r>
              <w:rPr>
                <w:rFonts w:ascii="Times New Roman" w:hAnsi="Times New Roman" w:eastAsia="Times New Roman" w:cs="Times New Roman"/>
                <w:sz w:val="22"/>
                <w:szCs w:val="22"/>
              </w:rPr>
              <w:t xml:space="preserve">(не проходил ранее процедуру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eastAsia="Times New Roman" w:cs="Times New Roman"/>
                <w:sz w:val="22"/>
                <w:szCs w:val="22"/>
              </w:rPr>
              <w:t xml:space="preserve"> или наличия </w:t>
            </w:r>
            <w:r>
              <w:rPr>
                <w:rFonts w:ascii="Times New Roman" w:hAnsi="Times New Roman" w:eastAsia="Times New Roman" w:cs="Times New Roman"/>
                <w:sz w:val="22"/>
                <w:szCs w:val="22"/>
              </w:rPr>
              <w:t xml:space="preserve">у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статуса </w:t>
            </w:r>
            <w:r>
              <w:rPr>
                <w:rFonts w:ascii="Times New Roman" w:hAnsi="Times New Roman" w:eastAsia="Times New Roman" w:cs="Times New Roman"/>
                <w:sz w:val="22"/>
                <w:szCs w:val="22"/>
              </w:rPr>
              <w:t xml:space="preserve">«не аккредитован» (по результатам ранее пройденной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а также для лиц,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 декларация в составе Письма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ЗаявкаНаАккредитацию" w:anchor="Прил10_ЗаявкаНаАккредитацию" w:history="1">
              <w:r>
                <w:rPr>
                  <w:rStyle w:val="1197"/>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28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заинтересованности Участника в дополнительной</w:t>
            </w:r>
            <w:r>
              <w:rPr>
                <w:rFonts w:ascii="Times New Roman" w:hAnsi="Times New Roman" w:eastAsia="Times New Roman" w:cs="Times New Roman"/>
                <w:sz w:val="22"/>
                <w:szCs w:val="22"/>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извещения о вводе сведений налоговым органом. Указанные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являются обязательными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в рамках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 предоставляются по желанию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8" w:name="_Ref139028406"/>
            <w:r>
              <w:rPr>
                <w:rFonts w:ascii="Times New Roman" w:hAnsi="Times New Roman" w:eastAsia="Times New Roman" w:cs="Times New Roman"/>
                <w:sz w:val="22"/>
                <w:szCs w:val="22"/>
              </w:rPr>
            </w:r>
            <w:bookmarkEnd w:id="26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181"/>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181"/>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73"/>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2" w:name="_Ref186120456"/>
            <w:r>
              <w:rPr>
                <w:rFonts w:ascii="Times New Roman" w:hAnsi="Times New Roman" w:eastAsia="Times New Roman" w:cs="Times New Roman"/>
                <w:sz w:val="22"/>
                <w:szCs w:val="22"/>
              </w:rPr>
            </w:r>
            <w:bookmarkEnd w:id="27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173"/>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3" w:name="_Ref186120461"/>
            <w:r>
              <w:rPr>
                <w:rFonts w:ascii="Times New Roman" w:hAnsi="Times New Roman" w:eastAsia="Times New Roman" w:cs="Times New Roman"/>
                <w:sz w:val="22"/>
                <w:szCs w:val="22"/>
              </w:rPr>
            </w:r>
            <w:bookmarkEnd w:id="27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 (или)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168"/>
        <w:spacing w:after="120"/>
        <w:rPr>
          <w:rFonts w:ascii="Times New Roman" w:hAnsi="Times New Roman" w:cs="Times New Roman"/>
          <w:sz w:val="22"/>
          <w:szCs w:val="22"/>
          <w:highlight w:val="yellow"/>
        </w:rPr>
      </w:pPr>
      <w:r>
        <w:rPr>
          <w:rFonts w:ascii="Times New Roman" w:hAnsi="Times New Roman" w:eastAsia="Times New Roman" w:cs="Times New Roman"/>
          <w:sz w:val="22"/>
          <w:szCs w:val="22"/>
          <w:highlight w:val="yellow"/>
        </w:rPr>
      </w:r>
      <w:bookmarkStart w:id="274" w:name="_Ref125361442"/>
      <w:r>
        <w:rPr>
          <w:rFonts w:ascii="Times New Roman" w:hAnsi="Times New Roman" w:eastAsia="Times New Roman" w:cs="Times New Roman"/>
          <w:sz w:val="22"/>
          <w:szCs w:val="22"/>
          <w:highlight w:val="yellow"/>
        </w:rPr>
      </w:r>
      <w:bookmarkStart w:id="275" w:name="_Ref125361633"/>
      <w:r>
        <w:rPr>
          <w:rFonts w:ascii="Times New Roman" w:hAnsi="Times New Roman" w:eastAsia="Times New Roman" w:cs="Times New Roman"/>
          <w:sz w:val="22"/>
          <w:szCs w:val="22"/>
          <w:highlight w:val="yellow"/>
        </w:rPr>
      </w:r>
      <w:bookmarkStart w:id="276" w:name="_Ref125361671"/>
      <w:r>
        <w:rPr>
          <w:rFonts w:ascii="Times New Roman" w:hAnsi="Times New Roman" w:eastAsia="Times New Roman" w:cs="Times New Roman"/>
          <w:sz w:val="22"/>
          <w:szCs w:val="22"/>
          <w:highlight w:val="yellow"/>
        </w:rPr>
      </w:r>
      <w:bookmarkStart w:id="277" w:name="_Ref125361869"/>
      <w:r>
        <w:rPr>
          <w:rFonts w:ascii="Times New Roman" w:hAnsi="Times New Roman" w:eastAsia="Times New Roman" w:cs="Times New Roman"/>
          <w:sz w:val="22"/>
          <w:szCs w:val="22"/>
          <w:highlight w:val="yellow"/>
        </w:rPr>
      </w:r>
      <w:bookmarkStart w:id="278" w:name="_Ref125361937"/>
      <w:r>
        <w:rPr>
          <w:rFonts w:ascii="Times New Roman" w:hAnsi="Times New Roman" w:eastAsia="Times New Roman" w:cs="Times New Roman"/>
          <w:sz w:val="22"/>
          <w:szCs w:val="22"/>
          <w:highlight w:val="yellow"/>
        </w:rPr>
      </w:r>
      <w:bookmarkStart w:id="279" w:name="_Ref125365459"/>
      <w:r>
        <w:rPr>
          <w:rFonts w:ascii="Times New Roman" w:hAnsi="Times New Roman" w:eastAsia="Times New Roman" w:cs="Times New Roman"/>
          <w:sz w:val="22"/>
          <w:szCs w:val="22"/>
          <w:highlight w:val="yellow"/>
        </w:rPr>
      </w:r>
      <w:bookmarkStart w:id="280" w:name="_Ref125367521"/>
      <w:r>
        <w:rPr>
          <w:rFonts w:ascii="Times New Roman" w:hAnsi="Times New Roman" w:eastAsia="Times New Roman" w:cs="Times New Roman"/>
          <w:sz w:val="22"/>
          <w:szCs w:val="22"/>
          <w:highlight w:val="yellow"/>
        </w:rPr>
      </w:r>
      <w:bookmarkStart w:id="281" w:name="_Ref125367539"/>
      <w:r>
        <w:rPr>
          <w:rFonts w:ascii="Times New Roman" w:hAnsi="Times New Roman" w:eastAsia="Times New Roman" w:cs="Times New Roman"/>
          <w:sz w:val="22"/>
          <w:szCs w:val="22"/>
          <w:highlight w:val="yellow"/>
        </w:rPr>
      </w:r>
      <w:bookmarkStart w:id="282" w:name="_Ref125368818"/>
      <w:r>
        <w:rPr>
          <w:rFonts w:ascii="Times New Roman" w:hAnsi="Times New Roman" w:eastAsia="Times New Roman" w:cs="Times New Roman"/>
          <w:sz w:val="22"/>
          <w:szCs w:val="22"/>
          <w:highlight w:val="yellow"/>
        </w:rPr>
      </w:r>
      <w:bookmarkStart w:id="283" w:name="_Ref125368901"/>
      <w:r>
        <w:rPr>
          <w:rFonts w:ascii="Times New Roman" w:hAnsi="Times New Roman" w:eastAsia="Times New Roman" w:cs="Times New Roman"/>
          <w:sz w:val="22"/>
          <w:szCs w:val="22"/>
          <w:highlight w:val="yellow"/>
        </w:rPr>
      </w:r>
      <w:bookmarkStart w:id="284" w:name="_Ref125368916"/>
      <w:r>
        <w:rPr>
          <w:rFonts w:ascii="Times New Roman" w:hAnsi="Times New Roman" w:eastAsia="Times New Roman" w:cs="Times New Roman"/>
          <w:sz w:val="22"/>
          <w:szCs w:val="22"/>
          <w:highlight w:val="yellow"/>
        </w:rPr>
      </w:r>
      <w:bookmarkStart w:id="285" w:name="_Ref125369099"/>
      <w:r>
        <w:rPr>
          <w:rFonts w:ascii="Times New Roman" w:hAnsi="Times New Roman" w:eastAsia="Times New Roman" w:cs="Times New Roman"/>
          <w:sz w:val="22"/>
          <w:szCs w:val="22"/>
          <w:highlight w:val="yellow"/>
        </w:rPr>
      </w:r>
      <w:bookmarkStart w:id="286" w:name="_Ref125370079"/>
      <w:r>
        <w:rPr>
          <w:rFonts w:ascii="Times New Roman" w:hAnsi="Times New Roman" w:eastAsia="Times New Roman" w:cs="Times New Roman"/>
          <w:sz w:val="22"/>
          <w:szCs w:val="22"/>
          <w:highlight w:val="yellow"/>
        </w:rPr>
      </w:r>
      <w:bookmarkStart w:id="287" w:name="_Ref125709153"/>
      <w:r>
        <w:rPr>
          <w:rFonts w:ascii="Times New Roman" w:hAnsi="Times New Roman" w:eastAsia="Times New Roman" w:cs="Times New Roman"/>
          <w:sz w:val="22"/>
          <w:szCs w:val="22"/>
          <w:highlight w:val="yellow"/>
        </w:rPr>
      </w:r>
      <w:bookmarkStart w:id="288" w:name="_Ref125709250"/>
      <w:r>
        <w:rPr>
          <w:rFonts w:ascii="Times New Roman" w:hAnsi="Times New Roman" w:eastAsia="Times New Roman" w:cs="Times New Roman"/>
          <w:sz w:val="22"/>
          <w:szCs w:val="22"/>
          <w:highlight w:val="yellow"/>
        </w:rPr>
      </w:r>
      <w:bookmarkStart w:id="289" w:name="_Ref125709401"/>
      <w:r>
        <w:rPr>
          <w:rFonts w:ascii="Times New Roman" w:hAnsi="Times New Roman" w:eastAsia="Times New Roman" w:cs="Times New Roman"/>
          <w:sz w:val="22"/>
          <w:szCs w:val="22"/>
          <w:highlight w:val="yellow"/>
        </w:rPr>
      </w:r>
      <w:bookmarkStart w:id="290" w:name="_Ref125709888"/>
      <w:r>
        <w:rPr>
          <w:rFonts w:ascii="Times New Roman" w:hAnsi="Times New Roman" w:eastAsia="Times New Roman" w:cs="Times New Roman"/>
          <w:sz w:val="22"/>
          <w:szCs w:val="22"/>
          <w:highlight w:val="yellow"/>
        </w:rPr>
      </w:r>
      <w:bookmarkStart w:id="291" w:name="_Toc186224061"/>
      <w:r>
        <w:rPr>
          <w:rFonts w:ascii="Times New Roman" w:hAnsi="Times New Roman" w:eastAsia="Times New Roman" w:cs="Times New Roman"/>
          <w:sz w:val="22"/>
          <w:szCs w:val="22"/>
          <w:highlight w:val="yellow"/>
        </w:rPr>
        <w:t xml:space="preserve">Специальные требования</w:t>
      </w:r>
      <w:bookmarkEnd w:id="274"/>
      <w:r>
        <w:rPr>
          <w:rFonts w:ascii="Times New Roman" w:hAnsi="Times New Roman" w:eastAsia="Times New Roman" w:cs="Times New Roman"/>
          <w:sz w:val="22"/>
          <w:szCs w:val="22"/>
          <w:highlight w:val="yellow"/>
        </w:rPr>
      </w:r>
      <w:bookmarkEnd w:id="275"/>
      <w:r>
        <w:rPr>
          <w:rFonts w:ascii="Times New Roman" w:hAnsi="Times New Roman" w:eastAsia="Times New Roman" w:cs="Times New Roman"/>
          <w:sz w:val="22"/>
          <w:szCs w:val="22"/>
          <w:highlight w:val="yellow"/>
        </w:rPr>
      </w:r>
      <w:bookmarkEnd w:id="276"/>
      <w:r>
        <w:rPr>
          <w:rFonts w:ascii="Times New Roman" w:hAnsi="Times New Roman" w:eastAsia="Times New Roman" w:cs="Times New Roman"/>
          <w:sz w:val="22"/>
          <w:szCs w:val="22"/>
          <w:highlight w:val="yellow"/>
        </w:rPr>
      </w:r>
      <w:bookmarkEnd w:id="277"/>
      <w:r>
        <w:rPr>
          <w:rFonts w:ascii="Times New Roman" w:hAnsi="Times New Roman" w:eastAsia="Times New Roman" w:cs="Times New Roman"/>
          <w:sz w:val="22"/>
          <w:szCs w:val="22"/>
          <w:highlight w:val="yellow"/>
        </w:rPr>
      </w:r>
      <w:bookmarkEnd w:id="278"/>
      <w:r>
        <w:rPr>
          <w:rFonts w:ascii="Times New Roman" w:hAnsi="Times New Roman" w:eastAsia="Times New Roman" w:cs="Times New Roman"/>
          <w:sz w:val="22"/>
          <w:szCs w:val="22"/>
          <w:highlight w:val="yellow"/>
        </w:rPr>
      </w:r>
      <w:bookmarkEnd w:id="279"/>
      <w:r>
        <w:rPr>
          <w:rFonts w:ascii="Times New Roman" w:hAnsi="Times New Roman" w:eastAsia="Times New Roman" w:cs="Times New Roman"/>
          <w:sz w:val="22"/>
          <w:szCs w:val="22"/>
          <w:highlight w:val="yellow"/>
        </w:rPr>
      </w:r>
      <w:bookmarkEnd w:id="280"/>
      <w:r>
        <w:rPr>
          <w:rFonts w:ascii="Times New Roman" w:hAnsi="Times New Roman" w:eastAsia="Times New Roman" w:cs="Times New Roman"/>
          <w:sz w:val="22"/>
          <w:szCs w:val="22"/>
          <w:highlight w:val="yellow"/>
        </w:rPr>
      </w:r>
      <w:bookmarkEnd w:id="281"/>
      <w:r>
        <w:rPr>
          <w:rFonts w:ascii="Times New Roman" w:hAnsi="Times New Roman" w:eastAsia="Times New Roman" w:cs="Times New Roman"/>
          <w:sz w:val="22"/>
          <w:szCs w:val="22"/>
          <w:highlight w:val="yellow"/>
        </w:rPr>
      </w:r>
      <w:bookmarkEnd w:id="282"/>
      <w:r>
        <w:rPr>
          <w:rFonts w:ascii="Times New Roman" w:hAnsi="Times New Roman" w:eastAsia="Times New Roman" w:cs="Times New Roman"/>
          <w:sz w:val="22"/>
          <w:szCs w:val="22"/>
          <w:highlight w:val="yellow"/>
        </w:rPr>
      </w:r>
      <w:bookmarkEnd w:id="283"/>
      <w:r>
        <w:rPr>
          <w:rFonts w:ascii="Times New Roman" w:hAnsi="Times New Roman" w:eastAsia="Times New Roman" w:cs="Times New Roman"/>
          <w:sz w:val="22"/>
          <w:szCs w:val="22"/>
          <w:highlight w:val="yellow"/>
        </w:rPr>
      </w:r>
      <w:bookmarkEnd w:id="284"/>
      <w:r>
        <w:rPr>
          <w:rFonts w:ascii="Times New Roman" w:hAnsi="Times New Roman" w:eastAsia="Times New Roman" w:cs="Times New Roman"/>
          <w:sz w:val="22"/>
          <w:szCs w:val="22"/>
          <w:highlight w:val="yellow"/>
        </w:rPr>
      </w:r>
      <w:bookmarkEnd w:id="285"/>
      <w:r>
        <w:rPr>
          <w:rFonts w:ascii="Times New Roman" w:hAnsi="Times New Roman" w:eastAsia="Times New Roman" w:cs="Times New Roman"/>
          <w:sz w:val="22"/>
          <w:szCs w:val="22"/>
          <w:highlight w:val="yellow"/>
        </w:rPr>
      </w:r>
      <w:bookmarkEnd w:id="286"/>
      <w:r>
        <w:rPr>
          <w:rFonts w:ascii="Times New Roman" w:hAnsi="Times New Roman" w:eastAsia="Times New Roman" w:cs="Times New Roman"/>
          <w:sz w:val="22"/>
          <w:szCs w:val="22"/>
          <w:highlight w:val="yellow"/>
        </w:rPr>
      </w:r>
      <w:bookmarkEnd w:id="287"/>
      <w:r>
        <w:rPr>
          <w:rFonts w:ascii="Times New Roman" w:hAnsi="Times New Roman" w:eastAsia="Times New Roman" w:cs="Times New Roman"/>
          <w:sz w:val="22"/>
          <w:szCs w:val="22"/>
          <w:highlight w:val="yellow"/>
        </w:rPr>
      </w:r>
      <w:bookmarkEnd w:id="288"/>
      <w:r>
        <w:rPr>
          <w:rFonts w:ascii="Times New Roman" w:hAnsi="Times New Roman" w:eastAsia="Times New Roman" w:cs="Times New Roman"/>
          <w:sz w:val="22"/>
          <w:szCs w:val="22"/>
          <w:highlight w:val="yellow"/>
        </w:rPr>
      </w:r>
      <w:bookmarkEnd w:id="289"/>
      <w:r>
        <w:rPr>
          <w:rFonts w:ascii="Times New Roman" w:hAnsi="Times New Roman" w:eastAsia="Times New Roman" w:cs="Times New Roman"/>
          <w:sz w:val="22"/>
          <w:szCs w:val="22"/>
          <w:highlight w:val="yellow"/>
        </w:rPr>
      </w:r>
      <w:bookmarkEnd w:id="290"/>
      <w:r>
        <w:rPr>
          <w:rFonts w:ascii="Times New Roman" w:hAnsi="Times New Roman" w:eastAsia="Times New Roman" w:cs="Times New Roman"/>
          <w:sz w:val="22"/>
          <w:szCs w:val="22"/>
          <w:highlight w:val="yellow"/>
        </w:rPr>
      </w:r>
      <w:bookmarkEnd w:id="291"/>
      <w:r>
        <w:rPr>
          <w:rFonts w:ascii="Times New Roman" w:hAnsi="Times New Roman" w:cs="Times New Roman"/>
          <w:sz w:val="22"/>
          <w:szCs w:val="22"/>
          <w:highlight w:val="yellow"/>
        </w:rPr>
      </w:r>
      <w:r>
        <w:rPr>
          <w:rFonts w:ascii="Times New Roman" w:hAnsi="Times New Roman" w:cs="Times New Roman"/>
          <w:sz w:val="22"/>
          <w:szCs w:val="22"/>
          <w:highlight w:val="yellow"/>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jc w:val="both"/>
              <w:keepNext/>
              <w:spacing w:before="60" w:after="60"/>
              <w:rPr>
                <w:sz w:val="22"/>
                <w:szCs w:val="22"/>
              </w:rPr>
            </w:pPr>
            <w:r>
              <w:rPr>
                <w:sz w:val="22"/>
                <w:szCs w:val="22"/>
              </w:rPr>
              <w:t xml:space="preserve">В соответствии с </w:t>
            </w:r>
            <w:r>
              <w:rPr>
                <w:sz w:val="22"/>
                <w:szCs w:val="22"/>
              </w:rPr>
              <w:t xml:space="preserve">условиями, разработка и перемещение</w:t>
            </w:r>
            <w:r>
              <w:rPr>
                <w:sz w:val="22"/>
                <w:szCs w:val="22"/>
              </w:rPr>
              <w:t xml:space="preserve"> золы</w:t>
            </w:r>
            <w:r>
              <w:rPr>
                <w:sz w:val="22"/>
                <w:szCs w:val="22"/>
              </w:rPr>
              <w:t xml:space="preserve"> осуществляется </w:t>
            </w:r>
            <w:r>
              <w:rPr>
                <w:sz w:val="22"/>
                <w:szCs w:val="22"/>
              </w:rPr>
              <w:t xml:space="preserve">на</w:t>
            </w:r>
            <w:r>
              <w:rPr>
                <w:sz w:val="22"/>
                <w:szCs w:val="22"/>
              </w:rPr>
              <w:t xml:space="preserve"> находящемся в эксплуатации</w:t>
            </w:r>
            <w:r>
              <w:rPr>
                <w:sz w:val="22"/>
                <w:szCs w:val="22"/>
              </w:rPr>
              <w:t xml:space="preserve"> золоотвале Хабаровской ТЭЦ-1, который является </w:t>
            </w:r>
            <w:r>
              <w:rPr>
                <w:sz w:val="22"/>
                <w:szCs w:val="22"/>
              </w:rPr>
              <w:t xml:space="preserve">декларируемым </w:t>
            </w:r>
            <w:r>
              <w:rPr>
                <w:sz w:val="22"/>
                <w:szCs w:val="22"/>
              </w:rPr>
              <w:t xml:space="preserve">гидротехническим сооружением II класса опасности</w:t>
            </w:r>
            <w:r>
              <w:rPr>
                <w:sz w:val="22"/>
                <w:szCs w:val="22"/>
              </w:rPr>
              <w:t xml:space="preserve">, </w:t>
            </w:r>
            <w:r>
              <w:rPr>
                <w:sz w:val="22"/>
                <w:szCs w:val="22"/>
              </w:rPr>
              <w:t xml:space="preserve">в соответствии со ст. 9.1 федерального закона от 21.07.1997 № </w:t>
            </w:r>
            <w:r>
              <w:rPr>
                <w:sz w:val="22"/>
                <w:szCs w:val="22"/>
              </w:rPr>
              <w:t xml:space="preserve">117-ФЗ</w:t>
            </w:r>
            <w:r>
              <w:rPr>
                <w:sz w:val="22"/>
                <w:szCs w:val="22"/>
              </w:rPr>
              <w:t xml:space="preserve"> «О безопасности гидротехнических сооружений»</w:t>
            </w:r>
            <w:r>
              <w:rPr>
                <w:sz w:val="22"/>
                <w:szCs w:val="22"/>
              </w:rPr>
              <w:t xml:space="preserve">.</w:t>
            </w:r>
            <w:r>
              <w:rPr>
                <w:sz w:val="22"/>
                <w:szCs w:val="22"/>
              </w:rPr>
              <w:t xml:space="preserve"> </w:t>
            </w:r>
            <w:r>
              <w:rPr>
                <w:sz w:val="22"/>
                <w:szCs w:val="22"/>
              </w:rPr>
              <w:t xml:space="preserve">Участник должен </w:t>
            </w:r>
            <w:r>
              <w:rPr>
                <w:sz w:val="22"/>
                <w:szCs w:val="22"/>
              </w:rPr>
              <w:t xml:space="preserve">подтвердить наличие аттестации по вопросам безопасности гидротехнических сооружений у руководителя работ</w:t>
            </w:r>
            <w:r>
              <w:rPr>
                <w:sz w:val="22"/>
                <w:szCs w:val="22"/>
              </w:rPr>
              <w:t xml:space="preserve">.</w:t>
            </w:r>
            <w:r>
              <w:rPr>
                <w:sz w:val="22"/>
                <w:szCs w:val="22"/>
              </w:rPr>
            </w:r>
            <w:r>
              <w:rPr>
                <w:sz w:val="22"/>
                <w:szCs w:val="22"/>
              </w:rPr>
            </w:r>
          </w:p>
        </w:tc>
        <w:tc>
          <w:tcPr>
            <w:tcW w:w="8327" w:type="dxa"/>
            <w:textDirection w:val="lrTb"/>
            <w:noWrap w:val="false"/>
          </w:tcPr>
          <w:p>
            <w:pPr>
              <w:jc w:val="both"/>
              <w:keepNext/>
              <w:spacing w:before="60" w:after="60"/>
              <w:rPr>
                <w:sz w:val="22"/>
                <w:szCs w:val="22"/>
              </w:rPr>
            </w:pPr>
            <w:r>
              <w:rPr>
                <w:sz w:val="22"/>
                <w:szCs w:val="22"/>
              </w:rPr>
              <w:t xml:space="preserve">В</w:t>
            </w:r>
            <w:r>
              <w:rPr>
                <w:sz w:val="22"/>
                <w:szCs w:val="22"/>
              </w:rPr>
              <w:t xml:space="preserve"> составе заявки Участник должен предоставить копию выписки из протокола Ростехнадзора о проведенной аттестации руководителя работ на объекте в обл</w:t>
            </w:r>
            <w:r>
              <w:rPr>
                <w:sz w:val="22"/>
                <w:szCs w:val="22"/>
              </w:rPr>
              <w:t xml:space="preserve">асти В.2. Гидротехнические сооружения объектов энергетики.</w:t>
            </w:r>
            <w:r>
              <w:rPr>
                <w:sz w:val="22"/>
                <w:szCs w:val="22"/>
              </w:rPr>
            </w:r>
            <w:r>
              <w:rPr>
                <w:sz w:val="22"/>
                <w:szCs w:val="22"/>
              </w:rPr>
            </w:r>
          </w:p>
        </w:tc>
      </w:tr>
    </w:tbl>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92" w:name="_Ref125550270"/>
      <w:r>
        <w:rPr>
          <w:rFonts w:ascii="Times New Roman" w:hAnsi="Times New Roman" w:eastAsia="Times New Roman" w:cs="Times New Roman"/>
          <w:sz w:val="22"/>
          <w:szCs w:val="22"/>
        </w:rPr>
      </w:r>
      <w:bookmarkStart w:id="293" w:name="_Ref125550353"/>
      <w:r>
        <w:rPr>
          <w:rFonts w:ascii="Times New Roman" w:hAnsi="Times New Roman" w:eastAsia="Times New Roman" w:cs="Times New Roman"/>
          <w:sz w:val="22"/>
          <w:szCs w:val="22"/>
        </w:rPr>
      </w:r>
      <w:bookmarkStart w:id="294" w:name="_Ref125553242"/>
      <w:r>
        <w:rPr>
          <w:rFonts w:ascii="Times New Roman" w:hAnsi="Times New Roman" w:eastAsia="Times New Roman" w:cs="Times New Roman"/>
          <w:sz w:val="22"/>
          <w:szCs w:val="22"/>
        </w:rPr>
      </w:r>
      <w:bookmarkStart w:id="295" w:name="_Ref125553296"/>
      <w:r>
        <w:rPr>
          <w:rFonts w:ascii="Times New Roman" w:hAnsi="Times New Roman" w:eastAsia="Times New Roman" w:cs="Times New Roman"/>
          <w:sz w:val="22"/>
          <w:szCs w:val="22"/>
        </w:rPr>
      </w:r>
      <w:bookmarkStart w:id="296" w:name="_Ref125553475"/>
      <w:r>
        <w:rPr>
          <w:rFonts w:ascii="Times New Roman" w:hAnsi="Times New Roman" w:eastAsia="Times New Roman" w:cs="Times New Roman"/>
          <w:sz w:val="22"/>
          <w:szCs w:val="22"/>
        </w:rPr>
      </w:r>
      <w:bookmarkStart w:id="297" w:name="_Ref125553681"/>
      <w:r>
        <w:rPr>
          <w:rFonts w:ascii="Times New Roman" w:hAnsi="Times New Roman" w:eastAsia="Times New Roman" w:cs="Times New Roman"/>
          <w:sz w:val="22"/>
          <w:szCs w:val="22"/>
        </w:rPr>
      </w:r>
      <w:bookmarkStart w:id="298" w:name="_Ref125709154"/>
      <w:r>
        <w:rPr>
          <w:rFonts w:ascii="Times New Roman" w:hAnsi="Times New Roman" w:eastAsia="Times New Roman" w:cs="Times New Roman"/>
          <w:sz w:val="22"/>
          <w:szCs w:val="22"/>
        </w:rPr>
      </w:r>
      <w:bookmarkStart w:id="299" w:name="_Ref125709256"/>
      <w:r>
        <w:rPr>
          <w:rFonts w:ascii="Times New Roman" w:hAnsi="Times New Roman" w:eastAsia="Times New Roman" w:cs="Times New Roman"/>
          <w:sz w:val="22"/>
          <w:szCs w:val="22"/>
        </w:rPr>
      </w:r>
      <w:bookmarkStart w:id="300" w:name="_Ref125709541"/>
      <w:r>
        <w:rPr>
          <w:rFonts w:ascii="Times New Roman" w:hAnsi="Times New Roman" w:eastAsia="Times New Roman" w:cs="Times New Roman"/>
          <w:sz w:val="22"/>
          <w:szCs w:val="22"/>
        </w:rPr>
      </w:r>
      <w:bookmarkStart w:id="301" w:name="_Ref125709895"/>
      <w:r>
        <w:rPr>
          <w:rFonts w:ascii="Times New Roman" w:hAnsi="Times New Roman" w:eastAsia="Times New Roman" w:cs="Times New Roman"/>
          <w:sz w:val="22"/>
          <w:szCs w:val="22"/>
        </w:rPr>
      </w:r>
      <w:bookmarkStart w:id="302" w:name="_Ref125361531"/>
      <w:r>
        <w:rPr>
          <w:rFonts w:ascii="Times New Roman" w:hAnsi="Times New Roman" w:eastAsia="Times New Roman" w:cs="Times New Roman"/>
          <w:sz w:val="22"/>
          <w:szCs w:val="22"/>
        </w:rPr>
      </w:r>
      <w:bookmarkStart w:id="303" w:name="_Ref125369111"/>
      <w:r>
        <w:rPr>
          <w:rFonts w:ascii="Times New Roman" w:hAnsi="Times New Roman" w:eastAsia="Times New Roman" w:cs="Times New Roman"/>
          <w:sz w:val="22"/>
          <w:szCs w:val="22"/>
        </w:rPr>
      </w:r>
      <w:bookmarkStart w:id="304" w:name="_Ref125370085"/>
      <w:r>
        <w:rPr>
          <w:rFonts w:ascii="Times New Roman" w:hAnsi="Times New Roman" w:eastAsia="Times New Roman" w:cs="Times New Roman"/>
          <w:sz w:val="22"/>
          <w:szCs w:val="22"/>
        </w:rPr>
      </w:r>
      <w:bookmarkStart w:id="305" w:name="_Ref125370145"/>
      <w:r>
        <w:rPr>
          <w:rFonts w:ascii="Times New Roman" w:hAnsi="Times New Roman" w:eastAsia="Times New Roman" w:cs="Times New Roman"/>
          <w:sz w:val="22"/>
          <w:szCs w:val="22"/>
        </w:rPr>
      </w:r>
      <w:bookmarkStart w:id="306" w:name="_Ref125370151"/>
      <w:r>
        <w:rPr>
          <w:rFonts w:ascii="Times New Roman" w:hAnsi="Times New Roman" w:eastAsia="Times New Roman" w:cs="Times New Roman"/>
          <w:sz w:val="22"/>
          <w:szCs w:val="22"/>
        </w:rPr>
      </w:r>
      <w:bookmarkStart w:id="307" w:name="_Toc186224062"/>
      <w:r>
        <w:rPr>
          <w:rFonts w:ascii="Times New Roman" w:hAnsi="Times New Roman" w:eastAsia="Times New Roman" w:cs="Times New Roman"/>
          <w:sz w:val="22"/>
          <w:szCs w:val="22"/>
        </w:rPr>
        <w:t xml:space="preserve">Квалификационные</w:t>
      </w:r>
      <w:r>
        <w:rPr>
          <w:rFonts w:ascii="Times New Roman" w:hAnsi="Times New Roman" w:eastAsia="Times New Roman" w:cs="Times New Roman"/>
          <w:sz w:val="22"/>
          <w:szCs w:val="22"/>
        </w:rPr>
        <w:t xml:space="preserve"> требования</w:t>
      </w:r>
      <w:bookmarkEnd w:id="292"/>
      <w:r>
        <w:rPr>
          <w:rFonts w:ascii="Times New Roman" w:hAnsi="Times New Roman" w:eastAsia="Times New Roman" w:cs="Times New Roman"/>
          <w:sz w:val="22"/>
          <w:szCs w:val="22"/>
        </w:rPr>
      </w:r>
      <w:bookmarkEnd w:id="293"/>
      <w:r>
        <w:rPr>
          <w:rFonts w:ascii="Times New Roman" w:hAnsi="Times New Roman" w:eastAsia="Times New Roman" w:cs="Times New Roman"/>
          <w:sz w:val="22"/>
          <w:szCs w:val="22"/>
        </w:rPr>
      </w:r>
      <w:bookmarkEnd w:id="294"/>
      <w:r>
        <w:rPr>
          <w:rFonts w:ascii="Times New Roman" w:hAnsi="Times New Roman" w:eastAsia="Times New Roman" w:cs="Times New Roman"/>
          <w:sz w:val="22"/>
          <w:szCs w:val="22"/>
        </w:rPr>
      </w:r>
      <w:bookmarkEnd w:id="295"/>
      <w:r>
        <w:rPr>
          <w:rFonts w:ascii="Times New Roman" w:hAnsi="Times New Roman" w:eastAsia="Times New Roman" w:cs="Times New Roman"/>
          <w:sz w:val="22"/>
          <w:szCs w:val="22"/>
        </w:rPr>
      </w:r>
      <w:bookmarkEnd w:id="296"/>
      <w:r>
        <w:rPr>
          <w:rFonts w:ascii="Times New Roman" w:hAnsi="Times New Roman" w:eastAsia="Times New Roman" w:cs="Times New Roman"/>
          <w:sz w:val="22"/>
          <w:szCs w:val="22"/>
        </w:rPr>
      </w:r>
      <w:bookmarkEnd w:id="297"/>
      <w:r>
        <w:rPr>
          <w:rFonts w:ascii="Times New Roman" w:hAnsi="Times New Roman" w:eastAsia="Times New Roman" w:cs="Times New Roman"/>
          <w:sz w:val="22"/>
          <w:szCs w:val="22"/>
        </w:rPr>
      </w:r>
      <w:bookmarkEnd w:id="298"/>
      <w:r>
        <w:rPr>
          <w:rFonts w:ascii="Times New Roman" w:hAnsi="Times New Roman" w:eastAsia="Times New Roman" w:cs="Times New Roman"/>
          <w:sz w:val="22"/>
          <w:szCs w:val="22"/>
        </w:rPr>
      </w:r>
      <w:bookmarkEnd w:id="299"/>
      <w:r>
        <w:rPr>
          <w:rFonts w:ascii="Times New Roman" w:hAnsi="Times New Roman" w:eastAsia="Times New Roman" w:cs="Times New Roman"/>
          <w:sz w:val="22"/>
          <w:szCs w:val="22"/>
        </w:rPr>
      </w:r>
      <w:bookmarkEnd w:id="300"/>
      <w:r>
        <w:rPr>
          <w:rFonts w:ascii="Times New Roman" w:hAnsi="Times New Roman" w:eastAsia="Times New Roman" w:cs="Times New Roman"/>
          <w:sz w:val="22"/>
          <w:szCs w:val="22"/>
        </w:rPr>
      </w:r>
      <w:bookmarkEnd w:id="301"/>
      <w:r>
        <w:rPr>
          <w:rFonts w:ascii="Times New Roman" w:hAnsi="Times New Roman" w:eastAsia="Times New Roman" w:cs="Times New Roman"/>
          <w:sz w:val="22"/>
          <w:szCs w:val="22"/>
        </w:rPr>
      </w:r>
      <w:bookmarkEnd w:id="307"/>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08" w:name="_Ref125552455"/>
      <w:r>
        <w:rPr>
          <w:rFonts w:ascii="Times New Roman" w:hAnsi="Times New Roman" w:eastAsia="Times New Roman" w:cs="Times New Roman"/>
          <w:sz w:val="22"/>
          <w:szCs w:val="22"/>
        </w:rPr>
      </w:r>
      <w:bookmarkStart w:id="309" w:name="_Ref125553500"/>
      <w:r>
        <w:rPr>
          <w:rFonts w:ascii="Times New Roman" w:hAnsi="Times New Roman" w:eastAsia="Times New Roman" w:cs="Times New Roman"/>
          <w:sz w:val="22"/>
          <w:szCs w:val="22"/>
        </w:rPr>
      </w:r>
      <w:bookmarkStart w:id="310" w:name="_Ref125553692"/>
      <w:r>
        <w:rPr>
          <w:rFonts w:ascii="Times New Roman" w:hAnsi="Times New Roman" w:eastAsia="Times New Roman" w:cs="Times New Roman"/>
          <w:sz w:val="22"/>
          <w:szCs w:val="22"/>
        </w:rPr>
      </w:r>
      <w:bookmarkStart w:id="311" w:name="_Ref125553703"/>
      <w:r>
        <w:rPr>
          <w:rFonts w:ascii="Times New Roman" w:hAnsi="Times New Roman" w:eastAsia="Times New Roman" w:cs="Times New Roman"/>
          <w:sz w:val="22"/>
          <w:szCs w:val="22"/>
        </w:rPr>
      </w:r>
      <w:bookmarkStart w:id="312" w:name="_Ref125709228"/>
      <w:r>
        <w:rPr>
          <w:rFonts w:ascii="Times New Roman" w:hAnsi="Times New Roman" w:eastAsia="Times New Roman" w:cs="Times New Roman"/>
          <w:sz w:val="22"/>
          <w:szCs w:val="22"/>
        </w:rPr>
      </w:r>
      <w:bookmarkStart w:id="313" w:name="_Toc18622406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2"/>
      <w:r>
        <w:rPr>
          <w:rFonts w:ascii="Times New Roman" w:hAnsi="Times New Roman" w:eastAsia="Times New Roman" w:cs="Times New Roman"/>
          <w:sz w:val="22"/>
          <w:szCs w:val="22"/>
        </w:rPr>
      </w:r>
      <w:bookmarkEnd w:id="313"/>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4" w:name="_Ref125370156"/>
            <w:r>
              <w:rPr>
                <w:rFonts w:ascii="Times New Roman" w:hAnsi="Times New Roman" w:eastAsia="Times New Roman" w:cs="Times New Roman"/>
                <w:sz w:val="22"/>
                <w:szCs w:val="22"/>
              </w:rPr>
            </w:r>
            <w:bookmarkEnd w:id="31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3738"/>
            <w:r>
              <w:rPr>
                <w:rFonts w:ascii="Times New Roman" w:hAnsi="Times New Roman" w:eastAsia="Times New Roman" w:cs="Times New Roman"/>
                <w:sz w:val="22"/>
                <w:szCs w:val="22"/>
              </w:rPr>
            </w:r>
            <w:bookmarkEnd w:id="31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6" w:name="_Ref125370162"/>
            <w:r>
              <w:rPr>
                <w:rFonts w:ascii="Times New Roman" w:hAnsi="Times New Roman" w:eastAsia="Times New Roman" w:cs="Times New Roman"/>
                <w:sz w:val="22"/>
                <w:szCs w:val="22"/>
              </w:rPr>
            </w:r>
            <w:bookmarkEnd w:id="31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7" w:name="_Ref125361823"/>
      <w:r>
        <w:rPr>
          <w:rFonts w:ascii="Times New Roman" w:hAnsi="Times New Roman" w:eastAsia="Times New Roman" w:cs="Times New Roman"/>
          <w:sz w:val="22"/>
          <w:szCs w:val="22"/>
        </w:rPr>
      </w:r>
      <w:bookmarkStart w:id="318" w:name="_Ref125362031"/>
      <w:r>
        <w:rPr>
          <w:rFonts w:ascii="Times New Roman" w:hAnsi="Times New Roman" w:eastAsia="Times New Roman" w:cs="Times New Roman"/>
          <w:sz w:val="22"/>
          <w:szCs w:val="22"/>
        </w:rPr>
      </w:r>
      <w:bookmarkStart w:id="319" w:name="_Ref125369117"/>
      <w:r>
        <w:rPr>
          <w:rFonts w:ascii="Times New Roman" w:hAnsi="Times New Roman" w:eastAsia="Times New Roman" w:cs="Times New Roman"/>
          <w:sz w:val="22"/>
          <w:szCs w:val="22"/>
        </w:rPr>
      </w:r>
      <w:bookmarkStart w:id="320" w:name="_Ref125370173"/>
      <w:r>
        <w:rPr>
          <w:rFonts w:ascii="Times New Roman" w:hAnsi="Times New Roman" w:eastAsia="Times New Roman" w:cs="Times New Roman"/>
          <w:sz w:val="22"/>
          <w:szCs w:val="22"/>
        </w:rPr>
      </w:r>
      <w:bookmarkStart w:id="321" w:name="_Ref125370180"/>
      <w:r>
        <w:rPr>
          <w:rFonts w:ascii="Times New Roman" w:hAnsi="Times New Roman" w:eastAsia="Times New Roman" w:cs="Times New Roman"/>
          <w:sz w:val="22"/>
          <w:szCs w:val="22"/>
        </w:rPr>
      </w:r>
      <w:bookmarkStart w:id="322" w:name="_Ref125370209"/>
      <w:r>
        <w:rPr>
          <w:rFonts w:ascii="Times New Roman" w:hAnsi="Times New Roman" w:eastAsia="Times New Roman" w:cs="Times New Roman"/>
          <w:sz w:val="22"/>
          <w:szCs w:val="22"/>
        </w:rPr>
      </w:r>
      <w:bookmarkStart w:id="323" w:name="_Ref125709777"/>
      <w:r>
        <w:rPr>
          <w:rFonts w:ascii="Times New Roman" w:hAnsi="Times New Roman" w:eastAsia="Times New Roman" w:cs="Times New Roman"/>
          <w:sz w:val="22"/>
          <w:szCs w:val="22"/>
        </w:rPr>
      </w:r>
      <w:bookmarkStart w:id="324" w:name="_Ref125709973"/>
      <w:r>
        <w:rPr>
          <w:rFonts w:ascii="Times New Roman" w:hAnsi="Times New Roman" w:eastAsia="Times New Roman" w:cs="Times New Roman"/>
          <w:sz w:val="22"/>
          <w:szCs w:val="22"/>
        </w:rPr>
      </w:r>
      <w:bookmarkStart w:id="325" w:name="_Toc186224064"/>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eastAsia="Times New Roman" w:cs="Times New Roman"/>
          <w:sz w:val="22"/>
          <w:szCs w:val="22"/>
        </w:rPr>
      </w:r>
      <w:bookmarkEnd w:id="325"/>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87"/>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70199"/>
            <w:r>
              <w:rPr>
                <w:rFonts w:ascii="Times New Roman" w:hAnsi="Times New Roman" w:eastAsia="Times New Roman" w:cs="Times New Roman"/>
                <w:sz w:val="22"/>
                <w:szCs w:val="22"/>
              </w:rPr>
            </w:r>
            <w:bookmarkEnd w:id="32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8" w:name="_Ref125370193"/>
            <w:r>
              <w:rPr>
                <w:rFonts w:ascii="Times New Roman" w:hAnsi="Times New Roman" w:eastAsia="Times New Roman" w:cs="Times New Roman"/>
                <w:sz w:val="22"/>
                <w:szCs w:val="22"/>
              </w:rPr>
            </w:r>
            <w:bookmarkEnd w:id="32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9" w:name="_Ref125553847"/>
            <w:r>
              <w:rPr>
                <w:rFonts w:ascii="Times New Roman" w:hAnsi="Times New Roman" w:eastAsia="Times New Roman" w:cs="Times New Roman"/>
                <w:sz w:val="22"/>
                <w:szCs w:val="22"/>
              </w:rPr>
            </w:r>
            <w:bookmarkEnd w:id="32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68"/>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30" w:name="_Ref125550523"/>
      <w:r>
        <w:rPr>
          <w:rFonts w:ascii="Times New Roman" w:hAnsi="Times New Roman" w:eastAsia="Times New Roman" w:cs="Times New Roman"/>
          <w:sz w:val="22"/>
          <w:szCs w:val="22"/>
        </w:rPr>
      </w:r>
      <w:bookmarkStart w:id="331" w:name="_Ref125550560"/>
      <w:r>
        <w:rPr>
          <w:rFonts w:ascii="Times New Roman" w:hAnsi="Times New Roman" w:eastAsia="Times New Roman" w:cs="Times New Roman"/>
          <w:sz w:val="22"/>
          <w:szCs w:val="22"/>
        </w:rPr>
      </w:r>
      <w:bookmarkStart w:id="332" w:name="_Ref125550566"/>
      <w:r>
        <w:rPr>
          <w:rFonts w:ascii="Times New Roman" w:hAnsi="Times New Roman" w:eastAsia="Times New Roman" w:cs="Times New Roman"/>
          <w:sz w:val="22"/>
          <w:szCs w:val="22"/>
        </w:rPr>
      </w:r>
      <w:bookmarkStart w:id="333" w:name="_Ref125553513"/>
      <w:r>
        <w:rPr>
          <w:rFonts w:ascii="Times New Roman" w:hAnsi="Times New Roman" w:eastAsia="Times New Roman" w:cs="Times New Roman"/>
          <w:sz w:val="22"/>
          <w:szCs w:val="22"/>
        </w:rPr>
      </w:r>
      <w:bookmarkStart w:id="334" w:name="_Ref125553821"/>
      <w:r>
        <w:rPr>
          <w:rFonts w:ascii="Times New Roman" w:hAnsi="Times New Roman" w:eastAsia="Times New Roman" w:cs="Times New Roman"/>
          <w:sz w:val="22"/>
          <w:szCs w:val="22"/>
        </w:rPr>
      </w:r>
      <w:bookmarkStart w:id="335" w:name="_Ref125710459"/>
      <w:r>
        <w:rPr>
          <w:rFonts w:ascii="Times New Roman" w:hAnsi="Times New Roman" w:eastAsia="Times New Roman" w:cs="Times New Roman"/>
          <w:sz w:val="22"/>
          <w:szCs w:val="22"/>
        </w:rPr>
      </w:r>
      <w:bookmarkStart w:id="336" w:name="_Ref125710480"/>
      <w:r>
        <w:rPr>
          <w:rFonts w:ascii="Times New Roman" w:hAnsi="Times New Roman" w:eastAsia="Times New Roman" w:cs="Times New Roman"/>
          <w:sz w:val="22"/>
          <w:szCs w:val="22"/>
        </w:rPr>
      </w:r>
      <w:bookmarkStart w:id="337" w:name="_Ref125710517"/>
      <w:r>
        <w:rPr>
          <w:rFonts w:ascii="Times New Roman" w:hAnsi="Times New Roman" w:eastAsia="Times New Roman" w:cs="Times New Roman"/>
          <w:sz w:val="22"/>
          <w:szCs w:val="22"/>
        </w:rPr>
      </w:r>
      <w:bookmarkStart w:id="338" w:name="_Toc186224065"/>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bookmarkEnd w:id="337"/>
      <w:r>
        <w:rPr>
          <w:rFonts w:ascii="Times New Roman" w:hAnsi="Times New Roman" w:eastAsia="Times New Roman" w:cs="Times New Roman"/>
          <w:sz w:val="22"/>
          <w:szCs w:val="22"/>
        </w:rPr>
      </w:r>
      <w:bookmarkEnd w:id="338"/>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173"/>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173"/>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39" w:name="Прил04_ФормыЗаявки"/>
      <w:r>
        <w:rPr>
          <w:rFonts w:ascii="Times New Roman" w:hAnsi="Times New Roman" w:eastAsia="Times New Roman" w:cs="Times New Roman"/>
          <w:sz w:val="22"/>
          <w:szCs w:val="22"/>
        </w:rPr>
      </w:r>
      <w:bookmarkStart w:id="340" w:name="_Ref125362865"/>
      <w:r>
        <w:rPr>
          <w:rFonts w:ascii="Times New Roman" w:hAnsi="Times New Roman" w:eastAsia="Times New Roman" w:cs="Times New Roman"/>
          <w:sz w:val="22"/>
          <w:szCs w:val="22"/>
        </w:rPr>
      </w:r>
      <w:bookmarkStart w:id="341" w:name="_Ref125362900"/>
      <w:r>
        <w:rPr>
          <w:rFonts w:ascii="Times New Roman" w:hAnsi="Times New Roman" w:eastAsia="Times New Roman" w:cs="Times New Roman"/>
          <w:sz w:val="22"/>
          <w:szCs w:val="22"/>
        </w:rPr>
      </w:r>
      <w:bookmarkStart w:id="342" w:name="_Toc186224066"/>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42"/>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43" w:name="_Toc186224067"/>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43"/>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44" w:name="Прил05_ФормыПобедителя"/>
      <w:r>
        <w:rPr>
          <w:rFonts w:ascii="Times New Roman" w:hAnsi="Times New Roman" w:eastAsia="Times New Roman" w:cs="Times New Roman"/>
          <w:sz w:val="22"/>
          <w:szCs w:val="22"/>
        </w:rPr>
      </w:r>
      <w:bookmarkStart w:id="345" w:name="_Toc186224068"/>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45"/>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46" w:name="_Toc186224069"/>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46"/>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47" w:name="_Ref130395470"/>
      <w:r>
        <w:rPr>
          <w:rFonts w:ascii="Times New Roman" w:hAnsi="Times New Roman" w:eastAsia="Times New Roman" w:cs="Times New Roman"/>
          <w:sz w:val="22"/>
          <w:szCs w:val="22"/>
        </w:rPr>
      </w:r>
      <w:bookmarkStart w:id="348" w:name="_Toc186224070"/>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47"/>
      <w:r>
        <w:rPr>
          <w:rFonts w:ascii="Times New Roman" w:hAnsi="Times New Roman" w:eastAsia="Times New Roman" w:cs="Times New Roman"/>
          <w:sz w:val="22"/>
          <w:szCs w:val="22"/>
        </w:rPr>
      </w:r>
      <w:bookmarkEnd w:id="34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MON_1741074142"/>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75pt;height:50.2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50" w:name="_Ref130395475"/>
      <w:r>
        <w:rPr>
          <w:rFonts w:ascii="Times New Roman" w:hAnsi="Times New Roman" w:eastAsia="Times New Roman" w:cs="Times New Roman"/>
          <w:sz w:val="22"/>
          <w:szCs w:val="22"/>
        </w:rPr>
      </w:r>
      <w:bookmarkStart w:id="351" w:name="_Toc186224071"/>
      <w:r>
        <w:rPr>
          <w:rFonts w:ascii="Times New Roman" w:hAnsi="Times New Roman" w:eastAsia="Times New Roman" w:cs="Times New Roman"/>
          <w:sz w:val="22"/>
          <w:szCs w:val="22"/>
        </w:rPr>
        <w:t xml:space="preserve">Форма «Заверение об обстоятельствах»</w:t>
      </w:r>
      <w:bookmarkEnd w:id="350"/>
      <w:r>
        <w:rPr>
          <w:rFonts w:ascii="Times New Roman" w:hAnsi="Times New Roman" w:eastAsia="Times New Roman" w:cs="Times New Roman"/>
          <w:sz w:val="22"/>
          <w:szCs w:val="22"/>
        </w:rPr>
      </w:r>
      <w:bookmarkEnd w:id="351"/>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169"/>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2" w:name="_MON_1741074184"/>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75pt;height:50.2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53" w:name="Прил06_СоставЗаявки"/>
      <w:r>
        <w:rPr>
          <w:rFonts w:ascii="Times New Roman" w:hAnsi="Times New Roman" w:eastAsia="Times New Roman" w:cs="Times New Roman"/>
          <w:sz w:val="22"/>
          <w:szCs w:val="22"/>
        </w:rPr>
      </w:r>
      <w:bookmarkStart w:id="354" w:name="_Toc186224072"/>
      <w:r>
        <w:rPr>
          <w:rFonts w:ascii="Times New Roman" w:hAnsi="Times New Roman" w:eastAsia="Times New Roman" w:cs="Times New Roman"/>
          <w:sz w:val="22"/>
          <w:szCs w:val="22"/>
        </w:rPr>
      </w:r>
      <w:bookmarkEnd w:id="35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54"/>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55" w:name="_Toc186224073"/>
      <w:r>
        <w:rPr>
          <w:rFonts w:ascii="Times New Roman" w:hAnsi="Times New Roman" w:eastAsia="Times New Roman" w:cs="Times New Roman"/>
          <w:sz w:val="22"/>
          <w:szCs w:val="22"/>
        </w:rPr>
        <w:t xml:space="preserve">Состав заявки</w:t>
      </w:r>
      <w:bookmarkEnd w:id="355"/>
      <w:r>
        <w:rPr>
          <w:rFonts w:ascii="Times New Roman" w:hAnsi="Times New Roman" w:cs="Times New Roman"/>
          <w:sz w:val="22"/>
          <w:szCs w:val="22"/>
        </w:rPr>
      </w:r>
      <w:r>
        <w:rPr>
          <w:rFonts w:ascii="Times New Roman" w:hAnsi="Times New Roman" w:cs="Times New Roman"/>
          <w:sz w:val="22"/>
          <w:szCs w:val="22"/>
        </w:rPr>
      </w:r>
    </w:p>
    <w:p>
      <w:pPr>
        <w:pStyle w:val="1169"/>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w:t>
        </w:r>
        <w:r>
          <w:rPr>
            <w:rStyle w:val="1197"/>
            <w:rFonts w:ascii="Times New Roman" w:hAnsi="Times New Roman" w:eastAsia="Times New Roman" w:cs="Times New Roman"/>
            <w:sz w:val="22"/>
            <w:szCs w:val="22"/>
          </w:rPr>
          <w:t xml:space="preserve">и</w:t>
        </w:r>
        <w:r>
          <w:rPr>
            <w:rStyle w:val="1197"/>
            <w:rFonts w:ascii="Times New Roman" w:hAnsi="Times New Roman" w:eastAsia="Times New Roman" w:cs="Times New Roman"/>
            <w:sz w:val="22"/>
            <w:szCs w:val="22"/>
          </w:rPr>
          <w:t xml:space="preserve"> № </w:t>
        </w:r>
        <w:r>
          <w:rPr>
            <w:rStyle w:val="1197"/>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w:t>
              </w:r>
              <w:r>
                <w:rPr>
                  <w:rStyle w:val="1197"/>
                  <w:rFonts w:ascii="Times New Roman" w:hAnsi="Times New Roman" w:eastAsia="Times New Roman" w:cs="Times New Roman"/>
                  <w:sz w:val="22"/>
                  <w:szCs w:val="22"/>
                </w:rPr>
                <w:t xml:space="preserve">ми</w:t>
              </w:r>
              <w:r>
                <w:rPr>
                  <w:rStyle w:val="1197"/>
                  <w:rFonts w:ascii="Times New Roman" w:hAnsi="Times New Roman" w:eastAsia="Times New Roman" w:cs="Times New Roman"/>
                  <w:sz w:val="22"/>
                  <w:szCs w:val="22"/>
                </w:rPr>
                <w:t xml:space="preserve"> требования</w:t>
              </w:r>
              <w:r>
                <w:rPr>
                  <w:rStyle w:val="1197"/>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eastAsia="Calibri" w:cs="Times New Roman"/>
                <w:bCs/>
                <w:i/>
                <w:sz w:val="22"/>
                <w:szCs w:val="22"/>
                <w:highlight w:val="none"/>
              </w:rPr>
            </w:pPr>
            <w:r>
              <w:rPr>
                <w:rFonts w:ascii="Times New Roman" w:hAnsi="Times New Roman" w:eastAsia="Times New Roman" w:cs="Times New Roman"/>
                <w:sz w:val="22"/>
                <w:szCs w:val="22"/>
              </w:rPr>
              <w:t xml:space="preserve">Календарный график (форма 5) </w:t>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Pr>
                <w:rFonts w:ascii="Times New Roman" w:hAnsi="Times New Roman" w:eastAsia="Times New Roman" w:cs="Times New Roman"/>
                <w:sz w:val="22"/>
                <w:szCs w:val="22"/>
              </w:rPr>
              <w:t xml:space="preserve">;</w:t>
            </w:r>
            <w:r>
              <w:rPr>
                <w:rFonts w:eastAsia="Calibri" w:cs="Times New Roman"/>
                <w:bCs/>
                <w:i/>
                <w:sz w:val="22"/>
                <w:szCs w:val="22"/>
                <w:highlight w:val="none"/>
              </w:rPr>
            </w:r>
            <w:r>
              <w:rPr>
                <w:rFonts w:eastAsia="Calibri" w:cs="Times New Roman"/>
                <w:bCs/>
                <w:i/>
                <w:sz w:val="22"/>
                <w:szCs w:val="22"/>
                <w:highlight w:val="none"/>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6" w:name="_Ref130389408"/>
            <w:r>
              <w:rPr>
                <w:rFonts w:ascii="Times New Roman" w:hAnsi="Times New Roman" w:eastAsia="Times New Roman" w:cs="Times New Roman"/>
                <w:sz w:val="22"/>
                <w:szCs w:val="22"/>
              </w:rPr>
            </w:r>
            <w:bookmarkEnd w:id="35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w:t>
              </w:r>
              <w:r>
                <w:rPr>
                  <w:rStyle w:val="1197"/>
                  <w:rFonts w:ascii="Times New Roman" w:hAnsi="Times New Roman" w:eastAsia="Times New Roman" w:cs="Times New Roman"/>
                  <w:sz w:val="22"/>
                  <w:szCs w:val="22"/>
                </w:rPr>
                <w:t xml:space="preserve">е</w:t>
              </w:r>
              <w:r>
                <w:rPr>
                  <w:rStyle w:val="1197"/>
                  <w:rFonts w:ascii="Times New Roman" w:hAnsi="Times New Roman" w:eastAsia="Times New Roman" w:cs="Times New Roman"/>
                  <w:sz w:val="22"/>
                  <w:szCs w:val="22"/>
                </w:rPr>
                <w:t xml:space="preserve"> и критери</w:t>
              </w:r>
              <w:r>
                <w:rPr>
                  <w:rStyle w:val="1197"/>
                  <w:rFonts w:ascii="Times New Roman" w:hAnsi="Times New Roman" w:eastAsia="Times New Roman" w:cs="Times New Roman"/>
                  <w:sz w:val="22"/>
                  <w:szCs w:val="22"/>
                </w:rPr>
                <w:t xml:space="preserve">ях</w:t>
              </w:r>
              <w:r>
                <w:rPr>
                  <w:rStyle w:val="1197"/>
                  <w:rFonts w:ascii="Times New Roman" w:hAnsi="Times New Roman" w:eastAsia="Times New Roman" w:cs="Times New Roman"/>
                  <w:sz w:val="22"/>
                  <w:szCs w:val="22"/>
                </w:rPr>
                <w:t xml:space="preserve"> оценки и сопоставления заявок</w:t>
              </w:r>
              <w:r>
                <w:rPr>
                  <w:rStyle w:val="1197"/>
                  <w:rFonts w:ascii="Times New Roman" w:hAnsi="Times New Roman" w:eastAsia="Times New Roman" w:cs="Times New Roman"/>
                  <w:sz w:val="22"/>
                  <w:szCs w:val="22"/>
                </w:rPr>
                <w:t xml:space="preserve"> (Приложение № </w:t>
              </w:r>
              <w:r>
                <w:rPr>
                  <w:rStyle w:val="1197"/>
                  <w:rFonts w:ascii="Times New Roman" w:hAnsi="Times New Roman" w:eastAsia="Times New Roman" w:cs="Times New Roman"/>
                  <w:sz w:val="22"/>
                  <w:szCs w:val="22"/>
                </w:rPr>
                <w:t xml:space="preserve">8</w:t>
              </w:r>
              <w:r>
                <w:rPr>
                  <w:rStyle w:val="1197"/>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опыта;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89413"/>
            <w:r>
              <w:rPr>
                <w:rFonts w:ascii="Times New Roman" w:hAnsi="Times New Roman" w:eastAsia="Times New Roman" w:cs="Times New Roman"/>
                <w:sz w:val="22"/>
                <w:szCs w:val="22"/>
              </w:rPr>
            </w:r>
            <w:bookmarkEnd w:id="35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материально-технических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8" w:name="_Ref130389419"/>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кадровых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наличия аффилированности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Style w:val="1197"/>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 оценка и сопоставление заявок Участников 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Style w:val="1197"/>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173"/>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197"/>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оценк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финансового состояния (устойчивости)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169"/>
        <w:rPr>
          <w:rStyle w:val="1178"/>
          <w:rFonts w:ascii="Times New Roman" w:hAnsi="Times New Roman" w:cs="Times New Roman"/>
          <w:i w:val="0"/>
          <w:iCs w:val="0"/>
          <w:sz w:val="22"/>
          <w:szCs w:val="22"/>
          <w:shd w:val="clear" w:color="auto" w:fill="auto"/>
        </w:rPr>
      </w:pPr>
      <w:r>
        <w:rPr>
          <w:rStyle w:val="1178"/>
          <w:rFonts w:ascii="Times New Roman" w:hAnsi="Times New Roman" w:eastAsia="Times New Roman" w:cs="Times New Roman"/>
          <w:i w:val="0"/>
          <w:iCs w:val="0"/>
          <w:sz w:val="22"/>
          <w:szCs w:val="22"/>
          <w:shd w:val="clear" w:color="auto" w:fill="auto"/>
        </w:rPr>
        <w:t xml:space="preserve">Е</w:t>
      </w:r>
      <w:r>
        <w:rPr>
          <w:rStyle w:val="1178"/>
          <w:rFonts w:ascii="Times New Roman" w:hAnsi="Times New Roman" w:eastAsia="Times New Roman" w:cs="Times New Roman"/>
          <w:i w:val="0"/>
          <w:iCs w:val="0"/>
          <w:sz w:val="22"/>
          <w:szCs w:val="22"/>
          <w:shd w:val="clear" w:color="auto" w:fill="auto"/>
        </w:rPr>
        <w:t xml:space="preserve">сли </w:t>
      </w:r>
      <w:r>
        <w:rPr>
          <w:rStyle w:val="1178"/>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178"/>
          <w:rFonts w:ascii="Times New Roman" w:hAnsi="Times New Roman" w:eastAsia="Times New Roman" w:cs="Times New Roman"/>
          <w:i w:val="0"/>
          <w:iCs w:val="0"/>
          <w:sz w:val="22"/>
          <w:szCs w:val="22"/>
          <w:shd w:val="clear" w:color="auto" w:fill="auto"/>
        </w:rPr>
        <w:t xml:space="preserve"> </w:t>
      </w:r>
      <w:r>
        <w:rPr>
          <w:rStyle w:val="1178"/>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178"/>
          <w:rFonts w:ascii="Times New Roman" w:hAnsi="Times New Roman" w:eastAsia="Times New Roman" w:cs="Times New Roman"/>
          <w:i w:val="0"/>
          <w:iCs w:val="0"/>
          <w:sz w:val="22"/>
          <w:szCs w:val="22"/>
          <w:shd w:val="clear" w:color="auto" w:fill="auto"/>
        </w:rPr>
        <w:t xml:space="preserve"> </w:t>
      </w:r>
      <w:r>
        <w:rPr>
          <w:rStyle w:val="1178"/>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78"/>
          <w:rFonts w:ascii="Times New Roman" w:hAnsi="Times New Roman" w:eastAsia="Times New Roman" w:cs="Times New Roman"/>
          <w:i w:val="0"/>
          <w:iCs w:val="0"/>
          <w:sz w:val="22"/>
          <w:szCs w:val="22"/>
          <w:shd w:val="clear" w:color="auto" w:fill="auto"/>
        </w:rPr>
        <w:t xml:space="preserve"> </w:t>
      </w:r>
      <w:r>
        <w:rPr>
          <w:rStyle w:val="1178"/>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178"/>
          <w:rFonts w:ascii="Times New Roman" w:hAnsi="Times New Roman" w:cs="Times New Roman"/>
          <w:i w:val="0"/>
          <w:iCs w:val="0"/>
          <w:sz w:val="22"/>
          <w:szCs w:val="22"/>
          <w:shd w:val="clear" w:color="auto" w:fill="auto"/>
        </w:rPr>
      </w:r>
      <w:r>
        <w:rPr>
          <w:rStyle w:val="1178"/>
          <w:rFonts w:ascii="Times New Roman" w:hAnsi="Times New Roman" w:cs="Times New Roman"/>
          <w:i w:val="0"/>
          <w:iCs w:val="0"/>
          <w:sz w:val="22"/>
          <w:szCs w:val="22"/>
          <w:shd w:val="clear" w:color="auto" w:fill="auto"/>
        </w:rPr>
      </w:r>
    </w:p>
    <w:p>
      <w:pPr>
        <w:pStyle w:val="1173"/>
        <w:rPr>
          <w:rStyle w:val="1178"/>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178"/>
          <w:rFonts w:ascii="Times New Roman" w:hAnsi="Times New Roman" w:cs="Times New Roman"/>
          <w:i w:val="0"/>
          <w:iCs w:val="0"/>
          <w:sz w:val="22"/>
          <w:szCs w:val="22"/>
          <w:shd w:val="clear" w:color="auto" w:fill="auto"/>
        </w:rPr>
      </w:r>
      <w:r>
        <w:rPr>
          <w:rStyle w:val="1178"/>
          <w:rFonts w:ascii="Times New Roman" w:hAnsi="Times New Roman" w:cs="Times New Roman"/>
          <w:i w:val="0"/>
          <w:iCs w:val="0"/>
          <w:sz w:val="22"/>
          <w:szCs w:val="22"/>
          <w:shd w:val="clear" w:color="auto" w:fill="auto"/>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59" w:name="Прил07_ОтборочныеКритерии"/>
      <w:r>
        <w:rPr>
          <w:rFonts w:ascii="Times New Roman" w:hAnsi="Times New Roman" w:eastAsia="Times New Roman" w:cs="Times New Roman"/>
          <w:sz w:val="22"/>
          <w:szCs w:val="22"/>
        </w:rPr>
      </w:r>
      <w:bookmarkStart w:id="360" w:name="_Ref125365264"/>
      <w:r>
        <w:rPr>
          <w:rFonts w:ascii="Times New Roman" w:hAnsi="Times New Roman" w:eastAsia="Times New Roman" w:cs="Times New Roman"/>
          <w:sz w:val="22"/>
          <w:szCs w:val="22"/>
        </w:rPr>
      </w:r>
      <w:bookmarkStart w:id="361" w:name="_Toc186224074"/>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60"/>
      <w:r>
        <w:rPr>
          <w:rFonts w:ascii="Times New Roman" w:hAnsi="Times New Roman" w:eastAsia="Times New Roman" w:cs="Times New Roman"/>
          <w:sz w:val="22"/>
          <w:szCs w:val="22"/>
        </w:rPr>
      </w:r>
      <w:bookmarkEnd w:id="361"/>
      <w:r>
        <w:rPr>
          <w:rFonts w:ascii="Times New Roman" w:hAnsi="Times New Roman" w:cs="Times New Roman"/>
          <w:sz w:val="22"/>
          <w:szCs w:val="22"/>
        </w:rPr>
      </w:r>
      <w:r>
        <w:rPr>
          <w:rFonts w:ascii="Times New Roman" w:hAnsi="Times New Roman" w:cs="Times New Roman"/>
          <w:sz w:val="22"/>
          <w:szCs w:val="22"/>
        </w:rPr>
      </w:r>
    </w:p>
    <w:p>
      <w:pPr>
        <w:pStyle w:val="1168"/>
        <w:spacing w:after="120"/>
        <w:rPr>
          <w:rStyle w:val="1178"/>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2" w:name="_Toc186224075"/>
      <w:r>
        <w:rPr>
          <w:rStyle w:val="1178"/>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62"/>
      <w:r>
        <w:rPr>
          <w:rStyle w:val="1178"/>
          <w:rFonts w:ascii="Times New Roman" w:hAnsi="Times New Roman" w:cs="Times New Roman"/>
          <w:i w:val="0"/>
          <w:iCs w:val="0"/>
          <w:sz w:val="22"/>
          <w:szCs w:val="22"/>
          <w:shd w:val="clear" w:color="auto" w:fill="auto"/>
        </w:rPr>
      </w:r>
      <w:r>
        <w:rPr>
          <w:rStyle w:val="1178"/>
          <w:rFonts w:ascii="Times New Roman" w:hAnsi="Times New Roman" w:cs="Times New Roman"/>
          <w:i w:val="0"/>
          <w:iCs w:val="0"/>
          <w:sz w:val="22"/>
          <w:szCs w:val="22"/>
          <w:shd w:val="clear" w:color="auto" w:fill="auto"/>
        </w:rPr>
      </w:r>
    </w:p>
    <w:tbl>
      <w:tblPr>
        <w:tblStyle w:val="119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73"/>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73"/>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73"/>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197"/>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Style w:val="1197"/>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197"/>
                  <w:rFonts w:ascii="Times New Roman" w:hAnsi="Times New Roman" w:eastAsia="Times New Roman" w:cs="Times New Roman"/>
                  <w:sz w:val="22"/>
                  <w:szCs w:val="22"/>
                </w:rPr>
                <w:t xml:space="preserve">Приложение № 6</w:t>
              </w:r>
            </w:hyperlink>
            <w:r>
              <w:rPr>
                <w:rStyle w:val="1197"/>
                <w:rFonts w:ascii="Times New Roman" w:hAnsi="Times New Roman" w:cs="Times New Roman"/>
                <w:sz w:val="22"/>
                <w:szCs w:val="22"/>
              </w:rPr>
            </w:r>
            <w:r>
              <w:rPr>
                <w:rStyle w:val="1197"/>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73"/>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73"/>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73"/>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73"/>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73"/>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_Ref186120456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_Ref186120461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73"/>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173"/>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оценк</w:t>
            </w:r>
            <w:r>
              <w:rPr>
                <w:rFonts w:ascii="Times New Roman" w:hAnsi="Times New Roman" w:eastAsia="Times New Roman" w:cs="Times New Roman"/>
                <w:i/>
                <w:iCs/>
                <w:sz w:val="22"/>
                <w:szCs w:val="22"/>
              </w:rPr>
              <w:t xml:space="preserve">и и сопоставления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197"/>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73"/>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197"/>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173"/>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173"/>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w:t>
            </w:r>
            <w:r>
              <w:rPr>
                <w:rFonts w:ascii="Times New Roman" w:hAnsi="Times New Roman" w:eastAsia="Times New Roman" w:cs="Times New Roman"/>
                <w:sz w:val="22"/>
                <w:szCs w:val="22"/>
              </w:rPr>
              <w:t xml:space="preserve">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i/>
                <w:iCs/>
                <w:sz w:val="22"/>
                <w:szCs w:val="22"/>
                <w:highlight w:val="lightGray"/>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w:t>
            </w:r>
            <w:r>
              <w:rPr>
                <w:rFonts w:ascii="Times New Roman" w:hAnsi="Times New Roman" w:cs="Times New Roman"/>
                <w:i/>
                <w:iCs/>
                <w:sz w:val="22"/>
                <w:szCs w:val="22"/>
                <w:highlight w:val="lightGray"/>
              </w:rPr>
              <w:t xml:space="preserve">в рамках данной процедуры предоставление Календарного графика не требуется</w:t>
            </w:r>
            <w:r>
              <w:rPr>
                <w:rFonts w:ascii="Times New Roman" w:hAnsi="Times New Roman" w:cs="Times New Roman"/>
                <w:i/>
                <w:iCs/>
                <w:sz w:val="22"/>
                <w:szCs w:val="22"/>
                <w:highlight w:val="lightGray"/>
              </w:rPr>
            </w:r>
            <w:r>
              <w:rPr>
                <w:rFonts w:ascii="Times New Roman" w:hAnsi="Times New Roman" w:cs="Times New Roman"/>
                <w:i/>
                <w:iCs/>
                <w:sz w:val="22"/>
                <w:szCs w:val="22"/>
                <w:highlight w:val="lightGray"/>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197"/>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w:t>
              </w:r>
              <w:r>
                <w:rPr>
                  <w:rStyle w:val="1197"/>
                  <w:rFonts w:ascii="Times New Roman" w:hAnsi="Times New Roman" w:eastAsia="Times New Roman" w:cs="Times New Roman"/>
                  <w:sz w:val="22"/>
                  <w:szCs w:val="22"/>
                </w:rPr>
                <w:t xml:space="preserve">х</w:t>
              </w:r>
              <w:r>
                <w:rPr>
                  <w:rStyle w:val="1197"/>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173"/>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173"/>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Технически</w:t>
              </w:r>
              <w:r>
                <w:rPr>
                  <w:rStyle w:val="1197"/>
                  <w:rFonts w:ascii="Times New Roman" w:hAnsi="Times New Roman" w:eastAsia="Times New Roman" w:cs="Times New Roman"/>
                  <w:sz w:val="22"/>
                  <w:szCs w:val="22"/>
                </w:rPr>
                <w:t xml:space="preserve">х</w:t>
              </w:r>
              <w:r>
                <w:rPr>
                  <w:rStyle w:val="1197"/>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197"/>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197"/>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68"/>
        <w:rPr>
          <w:rStyle w:val="1178"/>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3" w:name="_Toc186224076"/>
      <w:r>
        <w:rPr>
          <w:rStyle w:val="1178"/>
          <w:rFonts w:ascii="Times New Roman" w:hAnsi="Times New Roman" w:eastAsia="Times New Roman" w:cs="Times New Roman"/>
          <w:i w:val="0"/>
          <w:iCs w:val="0"/>
          <w:sz w:val="22"/>
          <w:szCs w:val="22"/>
          <w:shd w:val="clear" w:color="auto" w:fill="auto"/>
        </w:rPr>
        <w:t xml:space="preserve">Дополнительные</w:t>
      </w:r>
      <w:r>
        <w:rPr>
          <w:rStyle w:val="1178"/>
          <w:rFonts w:ascii="Times New Roman" w:hAnsi="Times New Roman" w:eastAsia="Times New Roman" w:cs="Times New Roman"/>
          <w:i w:val="0"/>
          <w:iCs w:val="0"/>
          <w:sz w:val="22"/>
          <w:szCs w:val="22"/>
          <w:shd w:val="clear" w:color="auto" w:fill="auto"/>
        </w:rPr>
        <w:t xml:space="preserve"> критерии проверки заяв</w:t>
      </w:r>
      <w:r>
        <w:rPr>
          <w:rStyle w:val="1178"/>
          <w:rFonts w:ascii="Times New Roman" w:hAnsi="Times New Roman" w:eastAsia="Times New Roman" w:cs="Times New Roman"/>
          <w:i w:val="0"/>
          <w:iCs w:val="0"/>
          <w:sz w:val="22"/>
          <w:szCs w:val="22"/>
          <w:shd w:val="clear" w:color="auto" w:fill="auto"/>
        </w:rPr>
        <w:t xml:space="preserve">ок</w:t>
      </w:r>
      <w:r>
        <w:rPr>
          <w:rStyle w:val="1178"/>
          <w:rFonts w:ascii="Times New Roman" w:hAnsi="Times New Roman" w:eastAsia="Times New Roman" w:cs="Times New Roman"/>
          <w:i w:val="0"/>
          <w:iCs w:val="0"/>
          <w:sz w:val="22"/>
          <w:szCs w:val="22"/>
          <w:shd w:val="clear" w:color="auto" w:fill="auto"/>
        </w:rPr>
        <w:t xml:space="preserve"> на соответстви</w:t>
      </w:r>
      <w:r>
        <w:rPr>
          <w:rStyle w:val="1178"/>
          <w:rFonts w:ascii="Times New Roman" w:hAnsi="Times New Roman" w:eastAsia="Times New Roman" w:cs="Times New Roman"/>
          <w:i w:val="0"/>
          <w:iCs w:val="0"/>
          <w:sz w:val="22"/>
          <w:szCs w:val="22"/>
          <w:shd w:val="clear" w:color="auto" w:fill="auto"/>
        </w:rPr>
        <w:t xml:space="preserve">е</w:t>
      </w:r>
      <w:r>
        <w:rPr>
          <w:rStyle w:val="1178"/>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63"/>
      <w:r>
        <w:rPr>
          <w:rStyle w:val="1178"/>
          <w:rFonts w:ascii="Times New Roman" w:hAnsi="Times New Roman" w:cs="Times New Roman"/>
          <w:i w:val="0"/>
          <w:iCs w:val="0"/>
          <w:sz w:val="22"/>
          <w:szCs w:val="22"/>
          <w:shd w:val="clear" w:color="auto" w:fill="auto"/>
        </w:rPr>
      </w:r>
      <w:r>
        <w:rPr>
          <w:rStyle w:val="1178"/>
          <w:rFonts w:ascii="Times New Roman" w:hAnsi="Times New Roman" w:cs="Times New Roman"/>
          <w:i w:val="0"/>
          <w:iCs w:val="0"/>
          <w:sz w:val="22"/>
          <w:szCs w:val="22"/>
          <w:shd w:val="clear" w:color="auto" w:fill="auto"/>
        </w:rPr>
      </w:r>
    </w:p>
    <w:p>
      <w:pPr>
        <w:pStyle w:val="1173"/>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194"/>
        <w:tblW w:w="0" w:type="auto"/>
        <w:tblLayout w:type="fixed"/>
        <w:tblLook w:val="04A0" w:firstRow="1" w:lastRow="0" w:firstColumn="1" w:lastColumn="0" w:noHBand="0" w:noVBand="1"/>
      </w:tblPr>
      <w:tblGrid>
        <w:gridCol w:w="1417"/>
        <w:gridCol w:w="8501"/>
        <w:gridCol w:w="3118"/>
        <w:gridCol w:w="2090"/>
      </w:tblGrid>
      <w:tr>
        <w:tblPrEx/>
        <w:trPr/>
        <w:tc>
          <w:tcPr>
            <w:tcW w:w="1417"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73"/>
              <w:numPr>
                <w:ilvl w:val="0"/>
                <w:numId w:val="22"/>
              </w:num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4" w:name="_Ref134773945"/>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bCs/>
                <w:sz w:val="22"/>
                <w:szCs w:val="22"/>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rFonts w:ascii="Times New Roman" w:hAnsi="Times New Roman" w:eastAsia="Times New Roman" w:cs="Times New Roman"/>
                <w:bCs/>
                <w:sz w:val="22"/>
                <w:szCs w:val="22"/>
              </w:rPr>
              <w:t xml:space="preserve">процента </w:t>
            </w:r>
            <w:r>
              <w:rPr>
                <w:rFonts w:ascii="Times New Roman" w:hAnsi="Times New Roman" w:eastAsia="Times New Roman" w:cs="Times New Roman"/>
                <w:bCs/>
                <w:sz w:val="22"/>
                <w:szCs w:val="22"/>
              </w:rPr>
              <w:t xml:space="preserve">снижения стоимости заявки с</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целью определения «расчетной» стоимости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Style w:val="1197"/>
                <w:rFonts w:ascii="Times New Roman" w:hAnsi="Times New Roman" w:cs="Times New Roman"/>
                <w:sz w:val="22"/>
                <w:szCs w:val="22"/>
              </w:rPr>
            </w:pP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_Ref125640994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4.14</w:t>
            </w:r>
            <w:r>
              <w:rPr>
                <w:rFonts w:ascii="Times New Roman" w:hAnsi="Times New Roman" w:eastAsia="Times New Roman" w:cs="Times New Roman"/>
                <w:bCs/>
                <w:sz w:val="22"/>
                <w:szCs w:val="22"/>
              </w:rPr>
              <w:fldChar w:fldCharType="end"/>
            </w:r>
            <w:r>
              <w:rPr>
                <w:rStyle w:val="1197"/>
                <w:rFonts w:ascii="Times New Roman" w:hAnsi="Times New Roman" w:cs="Times New Roman"/>
                <w:sz w:val="22"/>
                <w:szCs w:val="22"/>
              </w:rPr>
            </w:r>
            <w:r>
              <w:rPr>
                <w:rStyle w:val="1197"/>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bCs/>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173"/>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197"/>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173"/>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173"/>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65"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65"/>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66" w:name="_Hlk138342546"/>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66"/>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67" w:name="_Hlk138342572"/>
      <w:r>
        <w:rPr>
          <w:rFonts w:ascii="Times New Roman" w:hAnsi="Times New Roman" w:eastAsia="Times New Roman" w:cs="Times New Roman"/>
          <w:sz w:val="22"/>
          <w:szCs w:val="22"/>
        </w:rPr>
        <w:t xml:space="preserve">–</w:t>
      </w:r>
      <w:bookmarkEnd w:id="367"/>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68"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68"/>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2"/>
          <w:szCs w:val="22"/>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69" w:name="Прил08_ПорядокОценки"/>
      <w:r>
        <w:rPr>
          <w:rFonts w:ascii="Times New Roman" w:hAnsi="Times New Roman" w:eastAsia="Times New Roman" w:cs="Times New Roman"/>
          <w:sz w:val="22"/>
          <w:szCs w:val="22"/>
        </w:rPr>
      </w:r>
      <w:bookmarkStart w:id="370" w:name="_Ref125361648"/>
      <w:r>
        <w:rPr>
          <w:rFonts w:ascii="Times New Roman" w:hAnsi="Times New Roman" w:eastAsia="Times New Roman" w:cs="Times New Roman"/>
          <w:sz w:val="22"/>
          <w:szCs w:val="22"/>
        </w:rPr>
      </w:r>
      <w:bookmarkStart w:id="371" w:name="_Ref125361951"/>
      <w:r>
        <w:rPr>
          <w:rFonts w:ascii="Times New Roman" w:hAnsi="Times New Roman" w:eastAsia="Times New Roman" w:cs="Times New Roman"/>
          <w:sz w:val="22"/>
          <w:szCs w:val="22"/>
        </w:rPr>
      </w:r>
      <w:bookmarkStart w:id="372" w:name="_Ref125366013"/>
      <w:r>
        <w:rPr>
          <w:rFonts w:ascii="Times New Roman" w:hAnsi="Times New Roman" w:eastAsia="Times New Roman" w:cs="Times New Roman"/>
          <w:sz w:val="22"/>
          <w:szCs w:val="22"/>
        </w:rPr>
      </w:r>
      <w:bookmarkStart w:id="373" w:name="_Ref125366280"/>
      <w:r>
        <w:rPr>
          <w:rFonts w:ascii="Times New Roman" w:hAnsi="Times New Roman" w:eastAsia="Times New Roman" w:cs="Times New Roman"/>
          <w:sz w:val="22"/>
          <w:szCs w:val="22"/>
        </w:rPr>
      </w:r>
      <w:bookmarkStart w:id="374" w:name="_Ref125366285"/>
      <w:r>
        <w:rPr>
          <w:rFonts w:ascii="Times New Roman" w:hAnsi="Times New Roman" w:eastAsia="Times New Roman" w:cs="Times New Roman"/>
          <w:sz w:val="22"/>
          <w:szCs w:val="22"/>
        </w:rPr>
      </w:r>
      <w:bookmarkStart w:id="375" w:name="_Ref125368140"/>
      <w:r>
        <w:rPr>
          <w:rFonts w:ascii="Times New Roman" w:hAnsi="Times New Roman" w:eastAsia="Times New Roman" w:cs="Times New Roman"/>
          <w:sz w:val="22"/>
          <w:szCs w:val="22"/>
        </w:rPr>
      </w:r>
      <w:bookmarkStart w:id="376" w:name="_Ref125368150"/>
      <w:r>
        <w:rPr>
          <w:rFonts w:ascii="Times New Roman" w:hAnsi="Times New Roman" w:eastAsia="Times New Roman" w:cs="Times New Roman"/>
          <w:sz w:val="22"/>
          <w:szCs w:val="22"/>
        </w:rPr>
      </w:r>
      <w:bookmarkStart w:id="377" w:name="_Ref125368165"/>
      <w:r>
        <w:rPr>
          <w:rFonts w:ascii="Times New Roman" w:hAnsi="Times New Roman" w:eastAsia="Times New Roman" w:cs="Times New Roman"/>
          <w:sz w:val="22"/>
          <w:szCs w:val="22"/>
        </w:rPr>
      </w:r>
      <w:bookmarkStart w:id="378" w:name="_Ref125368172"/>
      <w:r>
        <w:rPr>
          <w:rFonts w:ascii="Times New Roman" w:hAnsi="Times New Roman" w:eastAsia="Times New Roman" w:cs="Times New Roman"/>
          <w:sz w:val="22"/>
          <w:szCs w:val="22"/>
        </w:rPr>
      </w:r>
      <w:bookmarkStart w:id="379" w:name="_Ref125368184"/>
      <w:r>
        <w:rPr>
          <w:rFonts w:ascii="Times New Roman" w:hAnsi="Times New Roman" w:eastAsia="Times New Roman" w:cs="Times New Roman"/>
          <w:sz w:val="22"/>
          <w:szCs w:val="22"/>
        </w:rPr>
      </w:r>
      <w:bookmarkStart w:id="380" w:name="_Ref125368283"/>
      <w:r>
        <w:rPr>
          <w:rFonts w:ascii="Times New Roman" w:hAnsi="Times New Roman" w:eastAsia="Times New Roman" w:cs="Times New Roman"/>
          <w:sz w:val="22"/>
          <w:szCs w:val="22"/>
        </w:rPr>
      </w:r>
      <w:bookmarkStart w:id="381" w:name="_Ref125368291"/>
      <w:r>
        <w:rPr>
          <w:rFonts w:ascii="Times New Roman" w:hAnsi="Times New Roman" w:eastAsia="Times New Roman" w:cs="Times New Roman"/>
          <w:sz w:val="22"/>
          <w:szCs w:val="22"/>
        </w:rPr>
      </w:r>
      <w:bookmarkStart w:id="382" w:name="_Ref125368302"/>
      <w:r>
        <w:rPr>
          <w:rFonts w:ascii="Times New Roman" w:hAnsi="Times New Roman" w:eastAsia="Times New Roman" w:cs="Times New Roman"/>
          <w:sz w:val="22"/>
          <w:szCs w:val="22"/>
        </w:rPr>
      </w:r>
      <w:bookmarkStart w:id="383" w:name="_Ref125368313"/>
      <w:r>
        <w:rPr>
          <w:rFonts w:ascii="Times New Roman" w:hAnsi="Times New Roman" w:eastAsia="Times New Roman" w:cs="Times New Roman"/>
          <w:sz w:val="22"/>
          <w:szCs w:val="22"/>
        </w:rPr>
      </w:r>
      <w:bookmarkStart w:id="384" w:name="_Ref125368331"/>
      <w:r>
        <w:rPr>
          <w:rFonts w:ascii="Times New Roman" w:hAnsi="Times New Roman" w:eastAsia="Times New Roman" w:cs="Times New Roman"/>
          <w:sz w:val="22"/>
          <w:szCs w:val="22"/>
        </w:rPr>
      </w:r>
      <w:bookmarkStart w:id="385" w:name="_Ref125369021"/>
      <w:r>
        <w:rPr>
          <w:rFonts w:ascii="Times New Roman" w:hAnsi="Times New Roman" w:eastAsia="Times New Roman" w:cs="Times New Roman"/>
          <w:sz w:val="22"/>
          <w:szCs w:val="22"/>
        </w:rPr>
      </w:r>
      <w:bookmarkStart w:id="386" w:name="_Ref125369438"/>
      <w:r>
        <w:rPr>
          <w:rFonts w:ascii="Times New Roman" w:hAnsi="Times New Roman" w:eastAsia="Times New Roman" w:cs="Times New Roman"/>
          <w:sz w:val="22"/>
          <w:szCs w:val="22"/>
        </w:rPr>
      </w:r>
      <w:bookmarkStart w:id="387" w:name="_Toc186224077"/>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bookmarkEnd w:id="377"/>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eastAsia="Times New Roman" w:cs="Times New Roman"/>
          <w:sz w:val="22"/>
          <w:szCs w:val="22"/>
        </w:rPr>
      </w:r>
      <w:bookmarkEnd w:id="387"/>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388" w:name="_Toc186224078"/>
      <w:r>
        <w:rPr>
          <w:rFonts w:ascii="Times New Roman" w:hAnsi="Times New Roman" w:eastAsia="Times New Roman" w:cs="Times New Roman"/>
          <w:sz w:val="22"/>
          <w:szCs w:val="22"/>
        </w:rPr>
        <w:t xml:space="preserve">Порядок и критерии оценки и сопоставления заявок</w:t>
      </w:r>
      <w:bookmarkEnd w:id="388"/>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Расчет итоговой оценки предпочтительности каждой заявки, успешно прошедшей отборочную </w:t>
      </w:r>
      <w:r>
        <w:rPr>
          <w:rFonts w:ascii="Times New Roman" w:hAnsi="Times New Roman" w:eastAsia="Times New Roman" w:cs="Times New Roman"/>
          <w:sz w:val="22"/>
          <w:szCs w:val="22"/>
        </w:rPr>
        <w:t xml:space="preserve">стадию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по следующим критериям оценки и в соответствии со следующим порядком оценки предпочтительности</w:t>
      </w:r>
      <w:r>
        <w:rPr>
          <w:rFonts w:ascii="Times New Roman" w:hAnsi="Times New Roman" w:eastAsia="Times New Roman" w:cs="Times New Roman"/>
          <w:sz w:val="22"/>
          <w:szCs w:val="22"/>
        </w:rPr>
        <w:t xml:space="preserve"> и сопоставления заявок:</w:t>
      </w:r>
      <w:r>
        <w:rPr>
          <w:rFonts w:ascii="Times New Roman" w:hAnsi="Times New Roman" w:cs="Times New Roman"/>
          <w:sz w:val="22"/>
          <w:szCs w:val="22"/>
        </w:rPr>
      </w:r>
      <w:r>
        <w:rPr>
          <w:rFonts w:ascii="Times New Roman" w:hAnsi="Times New Roman" w:cs="Times New Roman"/>
          <w:sz w:val="22"/>
          <w:szCs w:val="22"/>
        </w:rPr>
      </w:r>
    </w:p>
    <w:tbl>
      <w:tblPr>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017"/>
        <w:gridCol w:w="951"/>
        <w:gridCol w:w="1892"/>
        <w:gridCol w:w="1447"/>
        <w:gridCol w:w="1157"/>
        <w:gridCol w:w="1905"/>
        <w:gridCol w:w="6801"/>
      </w:tblGrid>
      <w:tr>
        <w:tblPrEx/>
        <w:trPr>
          <w:cantSplit/>
        </w:trPr>
        <w:tc>
          <w:tcPr>
            <w:shd w:val="clear" w:color="ffffff" w:fill="d5dce4"/>
            <w:tcW w:w="1017" w:type="dxa"/>
            <w:vMerge w:val="restart"/>
            <w:textDirection w:val="lrTb"/>
            <w:noWrap w:val="false"/>
          </w:tcPr>
          <w:p>
            <w:pPr>
              <w:numPr>
                <w:ilvl w:val="7"/>
                <w:numId w:val="0"/>
              </w:numPr>
              <w:jc w:val="center"/>
              <w:keepNext/>
              <w:spacing w:before="40" w:after="40" w:line="240" w:lineRule="auto"/>
              <w:rPr>
                <w:rFonts w:eastAsia="Calibri"/>
                <w:sz w:val="20"/>
                <w:szCs w:val="20"/>
              </w:rPr>
            </w:pPr>
            <w:r>
              <w:rPr>
                <w:sz w:val="20"/>
                <w:szCs w:val="20"/>
              </w:rPr>
            </w:r>
            <w:r>
              <w:rPr>
                <w:rFonts w:eastAsia="Calibri"/>
                <w:sz w:val="20"/>
                <w:szCs w:val="20"/>
              </w:rPr>
              <w:t xml:space="preserve">Номер критерия оценки в структуре</w:t>
            </w:r>
            <w:r>
              <w:rPr>
                <w:rFonts w:eastAsia="Calibri"/>
                <w:sz w:val="20"/>
                <w:szCs w:val="20"/>
              </w:rPr>
            </w:r>
            <w:r>
              <w:rPr>
                <w:rFonts w:eastAsia="Calibri"/>
                <w:sz w:val="20"/>
                <w:szCs w:val="20"/>
              </w:rPr>
            </w:r>
          </w:p>
        </w:tc>
        <w:tc>
          <w:tcPr>
            <w:shd w:val="clear" w:color="ffffff" w:fill="d5dce4"/>
            <w:tcW w:w="951"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Вид критерия оценки</w:t>
            </w:r>
            <w:r>
              <w:rPr>
                <w:rFonts w:eastAsia="Calibri"/>
                <w:sz w:val="20"/>
                <w:szCs w:val="20"/>
              </w:rPr>
            </w:r>
            <w:r>
              <w:rPr>
                <w:rFonts w:eastAsia="Calibri"/>
                <w:sz w:val="20"/>
                <w:szCs w:val="20"/>
              </w:rPr>
            </w:r>
          </w:p>
        </w:tc>
        <w:tc>
          <w:tcPr>
            <w:gridSpan w:val="2"/>
            <w:shd w:val="clear" w:color="ffffff" w:fill="d5dce4"/>
            <w:tcBorders>
              <w:bottom w:val="single" w:color="000000" w:sz="4" w:space="0"/>
            </w:tcBorders>
            <w:tcW w:w="333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Наименование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1157"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Значимость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1905"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Содержание частного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6801"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Расчёт оценки предпочтительности заявки</w:t>
            </w:r>
            <w:r>
              <w:rPr>
                <w:rFonts w:eastAsia="Calibri"/>
                <w:sz w:val="20"/>
                <w:szCs w:val="20"/>
              </w:rPr>
            </w:r>
            <w:r>
              <w:rPr>
                <w:rFonts w:eastAsia="Calibri"/>
                <w:sz w:val="20"/>
                <w:szCs w:val="20"/>
              </w:rPr>
            </w:r>
          </w:p>
        </w:tc>
      </w:tr>
      <w:tr>
        <w:tblPrEx/>
        <w:trPr>
          <w:cantSplit/>
        </w:trPr>
        <w:tc>
          <w:tcPr>
            <w:shd w:val="clear" w:color="ffffff" w:fill="d5dce4"/>
            <w:tcW w:w="1017"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95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892"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первого уровня</w:t>
            </w:r>
            <w:r>
              <w:rPr>
                <w:rFonts w:eastAsia="Calibri"/>
                <w:sz w:val="20"/>
                <w:szCs w:val="20"/>
              </w:rPr>
            </w:r>
            <w:r>
              <w:rPr>
                <w:rFonts w:eastAsia="Calibri"/>
                <w:sz w:val="20"/>
                <w:szCs w:val="20"/>
              </w:rPr>
            </w:r>
          </w:p>
        </w:tc>
        <w:tc>
          <w:tcPr>
            <w:shd w:val="clear" w:color="ffffff" w:fill="d5dce4"/>
            <w:tcBorders>
              <w:bottom w:val="single" w:color="000000" w:sz="4" w:space="0"/>
            </w:tcBorders>
            <w:tcW w:w="1447"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второго уровня</w:t>
            </w:r>
            <w:r>
              <w:rPr>
                <w:rFonts w:eastAsia="Calibri"/>
                <w:sz w:val="20"/>
                <w:szCs w:val="20"/>
              </w:rPr>
            </w:r>
            <w:r>
              <w:rPr>
                <w:rFonts w:eastAsia="Calibri"/>
                <w:sz w:val="20"/>
                <w:szCs w:val="20"/>
              </w:rPr>
            </w:r>
          </w:p>
        </w:tc>
        <w:tc>
          <w:tcPr>
            <w:shd w:val="clear" w:color="ffffff" w:fill="d5dce4"/>
            <w:tcW w:w="1157"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905"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680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r>
      <w:tr>
        <w:tblPrEx/>
        <w:trPr>
          <w:trHeight w:val="3354"/>
        </w:trPr>
        <w:tc>
          <w:tcPr>
            <w:shd w:val="clear" w:color="ffffff" w:fill="ffffff"/>
            <w:tcW w:w="1017"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1.</w:t>
            </w:r>
            <w:r>
              <w:rPr>
                <w:rFonts w:eastAsia="Calibri"/>
                <w:sz w:val="20"/>
                <w:szCs w:val="20"/>
              </w:rPr>
            </w:r>
            <w:r>
              <w:rPr>
                <w:rFonts w:eastAsia="Calibri"/>
                <w:sz w:val="20"/>
                <w:szCs w:val="20"/>
              </w:rPr>
            </w:r>
          </w:p>
        </w:tc>
        <w:tc>
          <w:tcPr>
            <w:shd w:val="clear" w:color="ffffff" w:fill="ffffff"/>
            <w:tcW w:w="951"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w:t>
            </w:r>
            <w:r>
              <w:rPr>
                <w:rFonts w:eastAsia="Calibri"/>
                <w:sz w:val="20"/>
                <w:szCs w:val="20"/>
              </w:rPr>
            </w:r>
            <w:r>
              <w:rPr>
                <w:rFonts w:eastAsia="Calibri"/>
                <w:sz w:val="20"/>
                <w:szCs w:val="20"/>
              </w:rPr>
            </w:r>
          </w:p>
        </w:tc>
        <w:tc>
          <w:tcPr>
            <w:shd w:val="clear" w:color="ffffff" w:fill="ffffff"/>
            <w:tcBorders>
              <w:right w:val="single" w:color="000000" w:sz="4" w:space="0"/>
            </w:tcBorders>
            <w:tcW w:w="1892"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 договора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447" w:type="dxa"/>
            <w:textDirection w:val="lrTb"/>
            <w:noWrap w:val="false"/>
          </w:tcPr>
          <w:p>
            <w:pPr>
              <w:numPr>
                <w:ilvl w:val="7"/>
                <w:numId w:val="0"/>
              </w:numPr>
              <w:jc w:val="center"/>
              <w:spacing w:line="240" w:lineRule="auto"/>
              <w:rPr>
                <w:rFonts w:eastAsia="Calibri"/>
                <w:i/>
                <w:sz w:val="20"/>
                <w:szCs w:val="20"/>
              </w:rPr>
            </w:pPr>
            <w:r>
              <w:rPr>
                <w:rFonts w:eastAsia="Calibri"/>
                <w:i/>
                <w:sz w:val="20"/>
                <w:szCs w:val="20"/>
              </w:rPr>
              <w:t xml:space="preserve">отсутствует</w:t>
            </w:r>
            <w:r>
              <w:rPr>
                <w:rFonts w:eastAsia="Calibri"/>
                <w:i/>
                <w:sz w:val="20"/>
                <w:szCs w:val="20"/>
              </w:rPr>
            </w:r>
            <w:r>
              <w:rPr>
                <w:rFonts w:eastAsia="Calibri"/>
                <w:i/>
                <w:sz w:val="20"/>
                <w:szCs w:val="20"/>
              </w:rPr>
            </w:r>
          </w:p>
        </w:tc>
        <w:tc>
          <w:tcPr>
            <w:shd w:val="clear" w:color="ffffff" w:fill="ffffff"/>
            <w:tcBorders>
              <w:left w:val="single" w:color="000000" w:sz="4" w:space="0"/>
              <w:right w:val="single" w:color="000000" w:sz="4" w:space="0"/>
            </w:tcBorders>
            <w:tcW w:w="1157" w:type="dxa"/>
            <w:textDirection w:val="lrTb"/>
            <w:noWrap w:val="false"/>
          </w:tcPr>
          <w:p>
            <w:pPr>
              <w:numPr>
                <w:ilvl w:val="7"/>
                <w:numId w:val="0"/>
              </w:numPr>
              <w:jc w:val="center"/>
              <w:spacing w:line="240" w:lineRule="auto"/>
              <w:rPr>
                <w:rFonts w:eastAsia="Calibri"/>
                <w:sz w:val="20"/>
                <w:szCs w:val="20"/>
              </w:rPr>
            </w:pPr>
            <w:r>
              <w:rPr>
                <w:rFonts w:eastAsia="Calibri"/>
                <w:sz w:val="20"/>
                <w:szCs w:val="20"/>
                <w:highlight w:val="white"/>
              </w:rPr>
              <w:t xml:space="preserve">90</w:t>
            </w:r>
            <w:r>
              <w:rPr>
                <w:rFonts w:eastAsia="Calibri"/>
                <w:sz w:val="20"/>
                <w:szCs w:val="20"/>
                <w:highlight w:val="white"/>
              </w:rPr>
              <w:t xml:space="preserve">%</w:t>
            </w:r>
            <w:r>
              <w:rPr>
                <w:rFonts w:eastAsia="Calibri"/>
                <w:sz w:val="20"/>
                <w:szCs w:val="20"/>
                <w:highlight w:val="white"/>
              </w:rPr>
              <w:br/>
              <w:t xml:space="preserve">(В</w:t>
            </w:r>
            <w:r>
              <w:rPr>
                <w:rFonts w:eastAsia="Calibri"/>
                <w:sz w:val="20"/>
                <w:szCs w:val="20"/>
                <w:highlight w:val="white"/>
                <w:vertAlign w:val="subscript"/>
              </w:rPr>
              <w:t xml:space="preserve">1</w:t>
            </w:r>
            <w:r>
              <w:rPr>
                <w:rFonts w:eastAsia="Calibri"/>
                <w:sz w:val="20"/>
                <w:szCs w:val="20"/>
                <w:highlight w:val="white"/>
              </w:rPr>
              <w:t xml:space="preserve"> = 0,90)</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905"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Чем меньше цена договора, тем выше предпочтительность</w:t>
            </w:r>
            <w:r>
              <w:rPr>
                <w:rFonts w:eastAsia="Calibri"/>
                <w:sz w:val="20"/>
                <w:szCs w:val="20"/>
              </w:rPr>
            </w:r>
            <w:r>
              <w:rPr>
                <w:rFonts w:eastAsia="Calibri"/>
                <w:sz w:val="20"/>
                <w:szCs w:val="20"/>
              </w:rPr>
            </w:r>
          </w:p>
        </w:tc>
        <w:tc>
          <w:tcPr>
            <w:shd w:val="clear" w:color="ffffff" w:fill="ffffff"/>
            <w:tcBorders>
              <w:left w:val="single" w:color="000000" w:sz="4" w:space="0"/>
            </w:tcBorders>
            <w:tcW w:w="6801" w:type="dxa"/>
            <w:textDirection w:val="lrTb"/>
            <w:noWrap w:val="false"/>
          </w:tcPr>
          <w:p>
            <w:pPr>
              <w:numPr>
                <w:ilvl w:val="7"/>
                <w:numId w:val="0"/>
              </w:numPr>
              <w:jc w:val="left"/>
              <w:spacing w:before="96" w:after="96" w:line="240" w:lineRule="auto"/>
              <w:rPr>
                <w:rFonts w:eastAsia="Calibri"/>
                <w:sz w:val="20"/>
                <w:szCs w:val="20"/>
              </w:rPr>
            </w:pPr>
            <w:r>
              <w:rPr>
                <w:rFonts w:eastAsia="Calibri"/>
                <w:sz w:val="20"/>
                <w:szCs w:val="20"/>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20"/>
                <w:szCs w:val="20"/>
              </w:rPr>
            </w:r>
            <w:r>
              <w:rPr>
                <w:rFonts w:eastAsia="Calibri"/>
                <w:sz w:val="20"/>
                <w:szCs w:val="20"/>
              </w:rPr>
            </w:r>
          </w:p>
          <w:p>
            <w:pPr>
              <w:numPr>
                <w:ilvl w:val="6"/>
                <w:numId w:val="0"/>
              </w:numPr>
              <w:jc w:val="center"/>
              <w:spacing w:line="240" w:lineRule="auto"/>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hint="eastAsia" w:ascii="Cambria Math" w:hAnsi="Cambria Math" w:eastAsia="Calibri"/>
                        <w:sz w:val="20"/>
                        <w:szCs w:val="20"/>
                        <w:lang w:eastAsia="en-US"/>
                      </w:rPr>
                      <m:rPr/>
                      <m:t>Б</m:t>
                    </m:r>
                  </m:e>
                  <m:sub>
                    <m:r>
                      <w:rPr>
                        <w:rFonts w:ascii="Cambria Math" w:hAnsi="Cambria Math" w:eastAsia="Calibri"/>
                        <w:sz w:val="20"/>
                        <w:szCs w:val="20"/>
                        <w:lang w:val="en-US" w:eastAsia="en-US"/>
                      </w:rPr>
                      <m:rPr/>
                      <m:t>1</m:t>
                    </m:r>
                  </m:sub>
                </m:sSub>
                <m:r>
                  <w:rPr>
                    <w:rFonts w:ascii="Cambria Math" w:hAnsi="Cambria Math" w:eastAsia="Calibri"/>
                    <w:sz w:val="20"/>
                    <w:szCs w:val="20"/>
                    <w:lang w:eastAsia="en-US"/>
                  </w:rPr>
                  <m:rPr>
                    <m:sty m:val="p"/>
                  </m:rPr>
                  <m:t>=</m:t>
                </m:r>
                <m:f>
                  <m:fPr>
                    <m:ctrlPr>
                      <w:rPr>
                        <w:rFonts w:ascii="Cambria Math" w:hAnsi="Cambria Math" w:eastAsia="Cambria Math" w:cs="Cambria Math"/>
                        <w:sz w:val="20"/>
                        <w:szCs w:val="18"/>
                        <w:lang w:eastAsia="en-US"/>
                      </w:rPr>
                    </m:ctrlPr>
                  </m:fPr>
                  <m:num>
                    <m:r>
                      <w:rPr>
                        <w:rFonts w:ascii="Cambria Math" w:hAnsi="Cambria Math" w:eastAsia="Calibri"/>
                        <w:sz w:val="20"/>
                        <w:szCs w:val="20"/>
                        <w:lang w:eastAsia="en-US"/>
                      </w:rPr>
                      <m:rPr>
                        <m:sty m:val="p"/>
                      </m:rPr>
                      <m:t>ЦЕНА min</m:t>
                    </m:r>
                  </m:num>
                  <m:den>
                    <m:r>
                      <w:rPr>
                        <w:rFonts w:ascii="Cambria Math" w:hAnsi="Cambria Math" w:eastAsia="Calibri"/>
                        <w:sz w:val="20"/>
                        <w:szCs w:val="20"/>
                        <w:lang w:eastAsia="en-US"/>
                      </w:rPr>
                      <m:rPr>
                        <m:sty m:val="p"/>
                      </m:rPr>
                      <m:t>ЦЕНА</m:t>
                    </m:r>
                    <m:r>
                      <w:rPr>
                        <w:rFonts w:ascii="Cambria Math" w:hAnsi="Cambria Math" w:eastAsia="Calibri"/>
                        <w:sz w:val="20"/>
                        <w:szCs w:val="20"/>
                        <w:vertAlign w:val="subscript"/>
                        <w:lang w:val="en-US" w:eastAsia="en-US"/>
                      </w:rPr>
                      <m:rPr/>
                      <m:t>i</m:t>
                    </m:r>
                    <m:r>
                      <w:rPr>
                        <w:rFonts w:ascii="Cambria Math" w:hAnsi="Cambria Math" w:eastAsia="Calibri"/>
                        <w:sz w:val="20"/>
                        <w:szCs w:val="20"/>
                        <w:lang w:eastAsia="en-US"/>
                      </w:rPr>
                      <m:rPr>
                        <m:sty m:val="p"/>
                      </m:rPr>
                      <m:t> </m:t>
                    </m:r>
                  </m:den>
                </m:f>
                <m:r>
                  <w:rPr>
                    <w:rFonts w:hint="eastAsia" w:ascii="Cambria Math" w:hAnsi="Cambria Math" w:eastAsia="Calibri"/>
                    <w:sz w:val="20"/>
                    <w:szCs w:val="20"/>
                    <w:lang w:eastAsia="en-US"/>
                  </w:rPr>
                  <m:rPr>
                    <m:sty m:val="p"/>
                  </m:rPr>
                  <m:t>×Ш</m:t>
                </m:r>
                <m:r>
                  <w:rPr>
                    <w:rFonts w:ascii="Cambria Math" w:hAnsi="Cambria Math" w:eastAsia="Calibri"/>
                    <w:sz w:val="20"/>
                    <w:szCs w:val="20"/>
                    <w:lang w:eastAsia="en-US"/>
                  </w:rPr>
                  <m:rPr>
                    <m:sty m:val="p"/>
                  </m:rPr>
                  <m:t>,</m:t>
                </m:r>
              </m:oMath>
            </m:oMathPara>
            <w:r>
              <w:rPr>
                <w:rFonts w:eastAsia="Calibri"/>
                <w:sz w:val="20"/>
                <w:szCs w:val="20"/>
              </w:rPr>
            </w:r>
            <w:r>
              <w:rPr>
                <w:rFonts w:eastAsia="Calibri"/>
                <w:sz w:val="20"/>
                <w:szCs w:val="20"/>
              </w:rPr>
            </w:r>
          </w:p>
          <w:p>
            <w:pPr>
              <w:numPr>
                <w:ilvl w:val="6"/>
                <w:numId w:val="0"/>
              </w:numPr>
              <w:jc w:val="left"/>
              <w:keepNext/>
              <w:spacing w:before="96" w:line="240" w:lineRule="auto"/>
              <w:rPr>
                <w:rFonts w:eastAsia="Calibri"/>
                <w:sz w:val="20"/>
                <w:szCs w:val="20"/>
              </w:rPr>
            </w:pPr>
            <w:r>
              <w:rPr>
                <w:rFonts w:eastAsia="Calibri"/>
                <w:sz w:val="20"/>
                <w:szCs w:val="20"/>
              </w:rPr>
              <w:t xml:space="preserve">где:</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w:t>
            </w:r>
            <w:r>
              <w:rPr>
                <w:rFonts w:eastAsia="Calibri"/>
                <w:sz w:val="20"/>
                <w:szCs w:val="20"/>
                <w:lang w:eastAsia="en-US"/>
              </w:rPr>
              <w:t xml:space="preserve"> – рассчитанная оценка предпочтительности по частному критерию оценки в баллах;</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i/>
                <w:iCs/>
                <w:sz w:val="20"/>
                <w:szCs w:val="20"/>
                <w:vertAlign w:val="subscript"/>
                <w:lang w:val="en-US" w:eastAsia="en-US"/>
              </w:rPr>
              <w:t xml:space="preserve">i</w:t>
            </w:r>
            <w:r>
              <w:rPr>
                <w:rFonts w:eastAsia="Calibri"/>
                <w:sz w:val="20"/>
                <w:szCs w:val="20"/>
                <w:lang w:eastAsia="en-US"/>
              </w:rPr>
              <w:t xml:space="preserve">  – цена коммерческого предложения (без НДС), указанная в заявке допущенного участника;</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sz w:val="20"/>
                <w:szCs w:val="20"/>
                <w:vertAlign w:val="subscript"/>
                <w:lang w:val="en-US" w:eastAsia="en-US"/>
              </w:rPr>
              <w:t xml:space="preserve">min</w:t>
            </w:r>
            <w:r>
              <w:rPr>
                <w:rFonts w:eastAsia="Calibri"/>
                <w:sz w:val="20"/>
                <w:szCs w:val="20"/>
                <w:vertAlign w:val="subscript"/>
                <w:lang w:eastAsia="en-US"/>
              </w:rPr>
              <w:t xml:space="preserve"> </w:t>
            </w:r>
            <w:r>
              <w:rPr>
                <w:rFonts w:eastAsia="Calibri"/>
                <w:sz w:val="20"/>
                <w:szCs w:val="20"/>
                <w:lang w:eastAsia="en-US"/>
              </w:rPr>
              <w:t xml:space="preserve">– минимальная цена коммерческого предложения (без НДС) среди всех допущенных заявок участников;</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Ш – максимально возможный балл (максимальная возможная оценка предпочтительности) по установленной в документации о закупке шкале оценок (Ш = 5).</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20"/>
                <w:szCs w:val="20"/>
              </w:rPr>
            </w:r>
            <w:r>
              <w:rPr>
                <w:rFonts w:eastAsia="Calibri"/>
                <w:sz w:val="20"/>
                <w:szCs w:val="20"/>
              </w:rPr>
            </w:r>
          </w:p>
          <w:p>
            <w:pPr>
              <w:ind w:firstLine="0"/>
              <w:rPr>
                <w:rFonts w:eastAsia="Calibri"/>
                <w:sz w:val="20"/>
                <w:szCs w:val="20"/>
              </w:rPr>
            </w:pPr>
            <w:r>
              <w:rPr>
                <w:rFonts w:eastAsia="Calibri"/>
                <w:sz w:val="20"/>
                <w:szCs w:val="20"/>
                <w:lang w:eastAsia="en-US"/>
              </w:rPr>
              <w:t xml:space="preserve">Шкала оценок от 0 до 5 баллов.</w:t>
            </w:r>
            <w:r>
              <w:rPr>
                <w:rFonts w:eastAsia="Calibri"/>
                <w:sz w:val="20"/>
                <w:szCs w:val="20"/>
              </w:rPr>
            </w:r>
            <w:r>
              <w:rPr>
                <w:rFonts w:eastAsia="Calibri"/>
                <w:sz w:val="20"/>
                <w:szCs w:val="20"/>
              </w:rPr>
            </w:r>
          </w:p>
        </w:tc>
      </w:tr>
      <w:tr>
        <w:tblPrEx/>
        <w:trPr>
          <w:trHeight w:val="1125"/>
        </w:trPr>
        <w:tc>
          <w:tcPr>
            <w:shd w:val="clear" w:color="ffffff" w:fill="ffffff"/>
            <w:tcW w:w="1017"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2.</w:t>
            </w:r>
            <w:r>
              <w:rPr>
                <w:rFonts w:eastAsia="Calibri"/>
                <w:sz w:val="20"/>
                <w:szCs w:val="20"/>
              </w:rPr>
            </w:r>
            <w:r>
              <w:rPr>
                <w:rFonts w:eastAsia="Calibri"/>
                <w:sz w:val="20"/>
                <w:szCs w:val="20"/>
              </w:rPr>
            </w:r>
          </w:p>
        </w:tc>
        <w:tc>
          <w:tcPr>
            <w:shd w:val="clear" w:color="ffffff" w:fill="ffffff"/>
            <w:tcW w:w="951" w:type="dxa"/>
            <w:textDirection w:val="lrTb"/>
            <w:noWrap w:val="false"/>
          </w:tcPr>
          <w:p>
            <w:pPr>
              <w:numPr>
                <w:ilvl w:val="7"/>
                <w:numId w:val="0"/>
              </w:numPr>
              <w:jc w:val="center"/>
              <w:spacing w:line="240" w:lineRule="auto"/>
              <w:rPr>
                <w:rFonts w:eastAsia="Calibri"/>
                <w:sz w:val="20"/>
                <w:szCs w:val="20"/>
              </w:rPr>
            </w:pPr>
            <w:r>
              <w:rPr>
                <w:sz w:val="20"/>
                <w:szCs w:val="20"/>
              </w:rPr>
              <w:t xml:space="preserve">ТЕХ</w:t>
            </w:r>
            <w:r>
              <w:rPr>
                <w:rFonts w:eastAsia="Calibri"/>
                <w:sz w:val="20"/>
                <w:szCs w:val="20"/>
              </w:rPr>
            </w:r>
            <w:r>
              <w:rPr>
                <w:rFonts w:eastAsia="Calibri"/>
                <w:sz w:val="20"/>
                <w:szCs w:val="20"/>
              </w:rPr>
            </w:r>
          </w:p>
        </w:tc>
        <w:tc>
          <w:tcPr>
            <w:shd w:val="clear" w:color="ffffff" w:fill="ffffff"/>
            <w:tcBorders>
              <w:right w:val="single" w:color="000000" w:sz="4" w:space="0"/>
            </w:tcBorders>
            <w:tcW w:w="1892" w:type="dxa"/>
            <w:textDirection w:val="lrTb"/>
            <w:noWrap w:val="false"/>
          </w:tcPr>
          <w:p>
            <w:pPr>
              <w:numPr>
                <w:ilvl w:val="7"/>
                <w:numId w:val="0"/>
              </w:numPr>
              <w:jc w:val="center"/>
              <w:spacing w:line="240" w:lineRule="auto"/>
              <w:rPr>
                <w:rFonts w:eastAsia="Calibri"/>
                <w:sz w:val="20"/>
                <w:szCs w:val="20"/>
              </w:rPr>
            </w:pPr>
            <w:r>
              <w:rPr>
                <w:sz w:val="20"/>
                <w:szCs w:val="20"/>
              </w:rPr>
              <w:t xml:space="preserve">Квалификация (предпочтительность) участника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447" w:type="dxa"/>
            <w:textDirection w:val="lrTb"/>
            <w:noWrap w:val="false"/>
          </w:tcPr>
          <w:p>
            <w:pPr>
              <w:numPr>
                <w:ilvl w:val="7"/>
                <w:numId w:val="0"/>
              </w:numPr>
              <w:jc w:val="center"/>
              <w:spacing w:line="240" w:lineRule="auto"/>
              <w:rPr>
                <w:rFonts w:eastAsia="Calibri"/>
                <w:sz w:val="20"/>
                <w:szCs w:val="20"/>
              </w:rPr>
            </w:pPr>
            <w:r>
              <w:rPr>
                <w:rFonts w:eastAsia="Calibri"/>
                <w:i/>
                <w:sz w:val="20"/>
                <w:szCs w:val="20"/>
              </w:rPr>
              <w:t xml:space="preserve">отсутствует</w:t>
            </w:r>
            <w:r>
              <w:rPr>
                <w:sz w:val="20"/>
                <w:szCs w:val="20"/>
              </w:rPr>
              <w:t xml:space="preserve"> </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157" w:type="dxa"/>
            <w:textDirection w:val="lrTb"/>
            <w:noWrap w:val="false"/>
          </w:tcPr>
          <w:p>
            <w:pPr>
              <w:numPr>
                <w:ilvl w:val="7"/>
                <w:numId w:val="0"/>
              </w:numPr>
              <w:contextualSpacing/>
              <w:jc w:val="center"/>
              <w:spacing w:line="240" w:lineRule="auto"/>
              <w:rPr>
                <w:sz w:val="20"/>
                <w:szCs w:val="20"/>
              </w:rPr>
            </w:pPr>
            <w:r>
              <w:rPr>
                <w:sz w:val="20"/>
                <w:szCs w:val="20"/>
              </w:rPr>
              <w:t xml:space="preserve">5%</w:t>
            </w:r>
            <w:r>
              <w:rPr>
                <w:sz w:val="20"/>
                <w:szCs w:val="20"/>
              </w:rPr>
            </w:r>
            <w:r>
              <w:rPr>
                <w:sz w:val="20"/>
                <w:szCs w:val="20"/>
              </w:rPr>
            </w:r>
          </w:p>
          <w:p>
            <w:pPr>
              <w:numPr>
                <w:ilvl w:val="7"/>
                <w:numId w:val="0"/>
              </w:numPr>
              <w:contextualSpacing/>
              <w:jc w:val="center"/>
              <w:spacing w:line="240" w:lineRule="auto"/>
              <w:rPr>
                <w:sz w:val="20"/>
                <w:szCs w:val="20"/>
              </w:rPr>
            </w:pPr>
            <w:r>
              <w:rPr>
                <w:sz w:val="20"/>
                <w:szCs w:val="20"/>
              </w:rPr>
              <w:t xml:space="preserve">(</w:t>
            </w:r>
            <w:r>
              <w:rPr>
                <w:sz w:val="20"/>
                <w:szCs w:val="20"/>
                <w:lang w:val="en-US"/>
              </w:rPr>
              <w:t xml:space="preserve">B</w:t>
            </w:r>
            <w:r>
              <w:rPr>
                <w:sz w:val="20"/>
                <w:szCs w:val="20"/>
                <w:vertAlign w:val="subscript"/>
              </w:rPr>
              <w:t xml:space="preserve">2 </w:t>
            </w:r>
            <w:r>
              <w:rPr>
                <w:sz w:val="20"/>
                <w:szCs w:val="20"/>
              </w:rPr>
              <w:t xml:space="preserve">= 0,05)</w:t>
            </w:r>
            <w:r>
              <w:rPr>
                <w:sz w:val="20"/>
                <w:szCs w:val="20"/>
              </w:rPr>
            </w:r>
            <w:r>
              <w:rPr>
                <w:sz w:val="20"/>
                <w:szCs w:val="20"/>
              </w:rPr>
            </w:r>
          </w:p>
        </w:tc>
        <w:tc>
          <w:tcPr>
            <w:shd w:val="clear" w:color="ffffff" w:fill="ffffff"/>
            <w:tcBorders>
              <w:left w:val="single" w:color="000000" w:sz="4" w:space="0"/>
              <w:right w:val="single" w:color="000000" w:sz="4" w:space="0"/>
            </w:tcBorders>
            <w:tcW w:w="1905" w:type="dxa"/>
            <w:textDirection w:val="lrTb"/>
            <w:noWrap w:val="false"/>
          </w:tcPr>
          <w:p>
            <w:pPr>
              <w:numPr>
                <w:ilvl w:val="7"/>
                <w:numId w:val="0"/>
              </w:numPr>
              <w:contextualSpacing/>
              <w:jc w:val="center"/>
              <w:spacing w:line="240" w:lineRule="auto"/>
              <w:rPr>
                <w:sz w:val="20"/>
                <w:szCs w:val="20"/>
              </w:rPr>
            </w:pPr>
            <w:r>
              <w:rPr>
                <w:sz w:val="20"/>
                <w:szCs w:val="20"/>
              </w:rPr>
              <w:t xml:space="preserve">Чем больше опыт « </w:t>
            </w:r>
            <w:r>
              <w:rPr>
                <w:sz w:val="20"/>
                <w:szCs w:val="20"/>
                <w:highlight w:val="yellow"/>
              </w:rPr>
              <w:t xml:space="preserve">по </w:t>
            </w:r>
            <w:r>
              <w:rPr>
                <w:sz w:val="20"/>
                <w:szCs w:val="20"/>
                <w:highlight w:val="yellow"/>
              </w:rPr>
              <w:t xml:space="preserve">выполнению земляных работ на действующих объектах   гидротехнических сооружений II класса опасности</w:t>
            </w:r>
            <w:r>
              <w:rPr>
                <w:sz w:val="20"/>
                <w:szCs w:val="20"/>
                <w:highlight w:val="yellow"/>
              </w:rPr>
              <w:t xml:space="preserve">»</w:t>
            </w:r>
            <w:r>
              <w:rPr>
                <w:sz w:val="20"/>
                <w:szCs w:val="20"/>
              </w:rPr>
              <w:t xml:space="preserve">, за последние 5 лет, предшествующих дате подачи заявки Участником,</w:t>
            </w:r>
            <w:r>
              <w:rPr>
                <w:sz w:val="20"/>
                <w:szCs w:val="20"/>
              </w:rPr>
              <w:t xml:space="preserve"> </w:t>
            </w:r>
            <w:r>
              <w:rPr>
                <w:sz w:val="20"/>
                <w:szCs w:val="20"/>
              </w:rPr>
              <w:t xml:space="preserve"> тем выше предпочтительность.</w:t>
            </w:r>
            <w:r>
              <w:rPr>
                <w:sz w:val="20"/>
                <w:szCs w:val="20"/>
              </w:rPr>
            </w:r>
            <w:r>
              <w:rPr>
                <w:sz w:val="20"/>
                <w:szCs w:val="20"/>
              </w:rPr>
            </w:r>
          </w:p>
        </w:tc>
        <w:tc>
          <w:tcPr>
            <w:shd w:val="clear" w:color="ffffff" w:fill="ffffff"/>
            <w:tcBorders>
              <w:left w:val="single" w:color="000000" w:sz="4" w:space="0"/>
            </w:tcBorders>
            <w:tcW w:w="6801" w:type="dxa"/>
            <w:textDirection w:val="lrTb"/>
            <w:noWrap w:val="false"/>
          </w:tcPr>
          <w:p>
            <w:pPr>
              <w:numPr>
                <w:ilvl w:val="7"/>
                <w:numId w:val="0"/>
              </w:numPr>
              <w:spacing w:line="240" w:lineRule="auto"/>
              <w:rPr>
                <w:rFonts w:eastAsiaTheme="minorHAnsi"/>
                <w:sz w:val="20"/>
                <w:szCs w:val="20"/>
              </w:rPr>
            </w:pPr>
            <w:r>
              <w:rPr>
                <w:rFonts w:eastAsiaTheme="minorHAnsi"/>
                <w:sz w:val="20"/>
                <w:szCs w:val="20"/>
                <w:lang w:eastAsia="en-US"/>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highlight w:val="yellow"/>
              </w:rPr>
            </w:pPr>
            <w:r>
              <w:rPr>
                <w:rFonts w:eastAsiaTheme="minorHAnsi"/>
                <w:sz w:val="20"/>
                <w:szCs w:val="20"/>
                <w:lang w:eastAsia="en-US"/>
              </w:rPr>
              <w:t xml:space="preserve">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w:t>
            </w:r>
            <w:r>
              <w:rPr>
                <w:rFonts w:eastAsiaTheme="minorHAnsi"/>
                <w:sz w:val="20"/>
                <w:szCs w:val="20"/>
                <w:highlight w:val="yellow"/>
                <w:lang w:eastAsia="en-US"/>
              </w:rPr>
              <w:t xml:space="preserve">с обязательным предоставлением подтверждающих наличие требуемого опыта документов, а именно:</w:t>
            </w:r>
            <w:r>
              <w:rPr>
                <w:rFonts w:eastAsiaTheme="minorHAnsi"/>
                <w:sz w:val="20"/>
                <w:szCs w:val="20"/>
                <w:highlight w:val="yellow"/>
              </w:rPr>
            </w:r>
            <w:r>
              <w:rPr>
                <w:rFonts w:eastAsiaTheme="minorHAnsi"/>
                <w:sz w:val="20"/>
                <w:szCs w:val="20"/>
                <w:highlight w:val="yellow"/>
              </w:rPr>
            </w:r>
          </w:p>
          <w:p>
            <w:pPr>
              <w:pStyle w:val="1217"/>
              <w:spacing w:before="0" w:line="240" w:lineRule="auto"/>
              <w:rPr>
                <w:sz w:val="18"/>
                <w:szCs w:val="18"/>
              </w:rPr>
            </w:pPr>
            <w:r>
              <w:rPr>
                <w:sz w:val="20"/>
                <w:szCs w:val="20"/>
              </w:rPr>
              <w:t xml:space="preserve">-     копии договоров, подписанных с обеих сторон;</w:t>
            </w:r>
            <w:r>
              <w:rPr>
                <w:sz w:val="18"/>
                <w:szCs w:val="18"/>
              </w:rPr>
            </w:r>
            <w:r>
              <w:rPr>
                <w:sz w:val="18"/>
                <w:szCs w:val="18"/>
              </w:rPr>
            </w:r>
          </w:p>
          <w:p>
            <w:pPr>
              <w:pStyle w:val="1217"/>
              <w:spacing w:before="0" w:line="240" w:lineRule="auto"/>
              <w:rPr>
                <w:sz w:val="18"/>
                <w:szCs w:val="18"/>
              </w:rPr>
            </w:pPr>
            <w:r>
              <w:rPr>
                <w:rFonts w:eastAsia="Calibri"/>
                <w:color w:val="000000" w:themeColor="text1"/>
                <w:sz w:val="20"/>
                <w:szCs w:val="20"/>
              </w:rPr>
              <w:t xml:space="preserve">- копии документов, предусмотренных требованиями договора, подтверждающих факт его исполнения, с указанием стоимости и наименования оказанных услуг, подписанных с обеих сторон и скрепленных печатями каждой из сторон договора</w:t>
            </w:r>
            <w:r>
              <w:rPr>
                <w:sz w:val="20"/>
                <w:szCs w:val="20"/>
              </w:rPr>
              <w:t xml:space="preserve">;</w:t>
            </w:r>
            <w:r>
              <w:rPr>
                <w:sz w:val="18"/>
                <w:szCs w:val="18"/>
              </w:rPr>
            </w:r>
            <w:r>
              <w:rPr>
                <w:sz w:val="18"/>
                <w:szCs w:val="18"/>
              </w:rPr>
            </w:r>
          </w:p>
          <w:p>
            <w:pPr>
              <w:numPr>
                <w:ilvl w:val="7"/>
                <w:numId w:val="0"/>
              </w:numPr>
              <w:spacing w:line="240" w:lineRule="auto"/>
              <w:rPr>
                <w:rFonts w:eastAsiaTheme="minorHAnsi"/>
                <w:sz w:val="20"/>
                <w:szCs w:val="20"/>
              </w:rPr>
            </w:pPr>
            <w:r>
              <w:rPr>
                <w:rFonts w:eastAsiaTheme="minorHAnsi"/>
                <w:sz w:val="20"/>
                <w:szCs w:val="20"/>
                <w:lang w:eastAsia="en-US"/>
              </w:rPr>
              <w:t xml:space="preserve">Порядок осуществления оценки (значение оцениваемого параметра), в зависимости от информации, предоставленной в i-ой заявке в «Справке об опыте Участника», подтверждающей наличие опыта: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bl>
            <w:tblPr>
              <w:tblW w:w="6983" w:type="dxa"/>
              <w:tblLayout w:type="fixed"/>
              <w:tblCellMar>
                <w:left w:w="0" w:type="dxa"/>
                <w:right w:w="0" w:type="dxa"/>
              </w:tblCellMar>
              <w:tblLook w:val="04A0" w:firstRow="1" w:lastRow="0" w:firstColumn="1" w:lastColumn="0" w:noHBand="0" w:noVBand="1"/>
            </w:tblPr>
            <w:tblGrid>
              <w:gridCol w:w="884"/>
              <w:gridCol w:w="6099"/>
            </w:tblGrid>
            <w:tr>
              <w:tblPrEx/>
              <w:trPr>
                <w:cantSplit/>
                <w:trHeight w:val="302"/>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0</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Опыт отсутствует/Опыт не подтверждён</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1</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0% от НМЦ «без учета НДС» , но менее 20% от НМЦ «без учета НДС» (включительно);</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2</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20% от НМЦ «без учета НДС», но менее 40%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none" w:color="000000" w:sz="4" w:space="0"/>
                    <w:left w:val="none" w:color="000000" w:sz="4" w:space="0"/>
                    <w:bottom w:val="none" w:color="000000" w:sz="4"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=3</w:t>
                  </w:r>
                  <w:r>
                    <w:rPr>
                      <w:rFonts w:eastAsiaTheme="minorHAnsi"/>
                      <w:sz w:val="20"/>
                      <w:szCs w:val="20"/>
                    </w:rPr>
                  </w:r>
                  <w:r>
                    <w:rPr>
                      <w:rFonts w:eastAsiaTheme="minorHAnsi"/>
                      <w:sz w:val="20"/>
                      <w:szCs w:val="20"/>
                    </w:rPr>
                  </w:r>
                </w:p>
              </w:tc>
              <w:tc>
                <w:tcPr>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40% от НМЦ «без учета НДС», но менее 60%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4</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60% от НМЦ «без учета НДС», но менее 80% от НМЦ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5</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80% от НМЦ «без учета НДС». </w:t>
                  </w:r>
                  <w:r>
                    <w:rPr>
                      <w:rFonts w:eastAsiaTheme="minorHAnsi"/>
                      <w:sz w:val="20"/>
                      <w:szCs w:val="20"/>
                    </w:rPr>
                  </w:r>
                  <w:r>
                    <w:rPr>
                      <w:rFonts w:eastAsiaTheme="minorHAnsi"/>
                      <w:sz w:val="20"/>
                      <w:szCs w:val="20"/>
                    </w:rPr>
                  </w:r>
                </w:p>
              </w:tc>
            </w:tr>
          </w:tbl>
          <w:p>
            <w:pPr>
              <w:numPr>
                <w:ilvl w:val="7"/>
                <w:numId w:val="0"/>
              </w:numPr>
              <w:spacing w:line="360" w:lineRule="exact"/>
              <w:rPr>
                <w:rFonts w:eastAsiaTheme="minorHAnsi"/>
                <w:sz w:val="20"/>
                <w:szCs w:val="20"/>
              </w:rPr>
            </w:pPr>
            <w:r>
              <w:rPr>
                <w:rFonts w:eastAsiaTheme="minorHAnsi"/>
                <w:sz w:val="20"/>
                <w:szCs w:val="20"/>
                <w:lang w:eastAsia="en-US"/>
              </w:rPr>
              <w:t xml:space="preserve">где: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НМЦ–начальная (максимальная) цена договора, установленная в документации о закупке;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lang w:eastAsia="en-US"/>
              </w:rPr>
              <w:t xml:space="preserve">2</w:t>
            </w:r>
            <w:r>
              <w:rPr>
                <w:rFonts w:eastAsiaTheme="minorHAnsi"/>
                <w:sz w:val="20"/>
                <w:szCs w:val="20"/>
                <w:lang w:eastAsia="en-US"/>
              </w:rPr>
              <w:t xml:space="preserve"> –рассчитанная оценка предпочтительности по данному частному критерию оценки в баллах.</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Учитываются только выполненные Участником договоры (с учетом правопреемственности). </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Договоры, не соответствующие профилю закупки, </w:t>
            </w:r>
            <w:r>
              <w:rPr>
                <w:rFonts w:eastAsiaTheme="minorHAnsi"/>
                <w:sz w:val="20"/>
                <w:szCs w:val="20"/>
                <w:lang w:eastAsia="en-US"/>
              </w:rPr>
              <w:t xml:space="preserve"> не оцениваются.</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Шкала оценок от 0 до 5 баллов</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c>
      </w:tr>
      <w:tr>
        <w:tblPrEx/>
        <w:trPr>
          <w:cantSplit/>
          <w:trHeight w:val="201"/>
        </w:trPr>
        <w:tc>
          <w:tcPr>
            <w:shd w:val="clear" w:color="ffffff" w:fill="ffffff"/>
            <w:tcW w:w="1017"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3. </w:t>
            </w:r>
            <w:r>
              <w:rPr>
                <w:sz w:val="20"/>
                <w:szCs w:val="20"/>
              </w:rPr>
            </w:r>
            <w:r>
              <w:rPr>
                <w:sz w:val="20"/>
                <w:szCs w:val="20"/>
              </w:rPr>
            </w:r>
          </w:p>
        </w:tc>
        <w:tc>
          <w:tcPr>
            <w:shd w:val="clear" w:color="ffffff" w:fill="ffffff"/>
            <w:tcW w:w="951"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ОРГ</w:t>
            </w:r>
            <w:r>
              <w:rPr>
                <w:sz w:val="20"/>
                <w:szCs w:val="20"/>
              </w:rPr>
            </w:r>
            <w:r>
              <w:rPr>
                <w:sz w:val="20"/>
                <w:szCs w:val="20"/>
              </w:rPr>
            </w:r>
          </w:p>
        </w:tc>
        <w:tc>
          <w:tcPr>
            <w:shd w:val="clear" w:color="ffffff" w:fill="ffffff"/>
            <w:tcW w:w="1892" w:type="dxa"/>
            <w:textDirection w:val="lrTb"/>
            <w:noWrap w:val="false"/>
          </w:tcPr>
          <w:p>
            <w:pPr>
              <w:numPr>
                <w:ilvl w:val="7"/>
                <w:numId w:val="0"/>
              </w:numPr>
              <w:contextualSpacing/>
              <w:jc w:val="center"/>
              <w:spacing w:line="240" w:lineRule="auto"/>
              <w:rPr>
                <w:sz w:val="20"/>
                <w:szCs w:val="20"/>
              </w:rPr>
            </w:pPr>
            <w:r>
              <w:rPr>
                <w:sz w:val="20"/>
                <w:szCs w:val="20"/>
              </w:rPr>
              <w:t xml:space="preserve">Финансовое состояние (устойчивость) Участника</w:t>
            </w:r>
            <w:r>
              <w:rPr>
                <w:sz w:val="20"/>
                <w:szCs w:val="20"/>
              </w:rPr>
            </w:r>
            <w:r>
              <w:rPr>
                <w:sz w:val="20"/>
                <w:szCs w:val="20"/>
              </w:rPr>
            </w:r>
          </w:p>
        </w:tc>
        <w:tc>
          <w:tcPr>
            <w:shd w:val="clear" w:color="ffffff" w:fill="ffffff"/>
            <w:tcW w:w="1447" w:type="dxa"/>
            <w:textDirection w:val="lrTb"/>
            <w:noWrap w:val="false"/>
          </w:tcPr>
          <w:p>
            <w:pPr>
              <w:numPr>
                <w:ilvl w:val="7"/>
                <w:numId w:val="0"/>
              </w:numPr>
              <w:contextualSpacing/>
              <w:jc w:val="center"/>
              <w:spacing w:line="240" w:lineRule="auto"/>
              <w:rPr>
                <w:i/>
                <w:sz w:val="20"/>
                <w:szCs w:val="20"/>
              </w:rPr>
            </w:pPr>
            <w:r>
              <w:rPr>
                <w:i/>
                <w:sz w:val="20"/>
                <w:szCs w:val="20"/>
              </w:rPr>
              <w:t xml:space="preserve">отсутствует</w:t>
            </w:r>
            <w:r>
              <w:rPr>
                <w:i/>
                <w:sz w:val="20"/>
                <w:szCs w:val="20"/>
              </w:rPr>
            </w:r>
            <w:r>
              <w:rPr>
                <w:i/>
                <w:sz w:val="20"/>
                <w:szCs w:val="20"/>
              </w:rPr>
            </w:r>
          </w:p>
        </w:tc>
        <w:tc>
          <w:tcPr>
            <w:shd w:val="clear" w:color="ffffff" w:fill="ffffff"/>
            <w:tcW w:w="1157"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5%</w:t>
            </w:r>
            <w:r>
              <w:rPr>
                <w:sz w:val="20"/>
                <w:szCs w:val="20"/>
              </w:rPr>
            </w:r>
            <w:r>
              <w:rPr>
                <w:sz w:val="20"/>
                <w:szCs w:val="20"/>
              </w:rPr>
            </w:r>
          </w:p>
          <w:p>
            <w:pPr>
              <w:numPr>
                <w:ilvl w:val="7"/>
                <w:numId w:val="0"/>
              </w:numPr>
              <w:contextualSpacing/>
              <w:jc w:val="center"/>
              <w:spacing w:line="240" w:lineRule="auto"/>
              <w:rPr>
                <w:sz w:val="20"/>
                <w:szCs w:val="20"/>
              </w:rPr>
            </w:pPr>
            <w:r>
              <w:rPr>
                <w:sz w:val="20"/>
                <w:szCs w:val="20"/>
                <w:lang w:val="en-US"/>
              </w:rPr>
              <w:t xml:space="preserve">(В</w:t>
            </w:r>
            <w:r>
              <w:rPr>
                <w:sz w:val="20"/>
                <w:szCs w:val="20"/>
                <w:vertAlign w:val="subscript"/>
                <w:lang w:val="en-US"/>
              </w:rPr>
              <w:t xml:space="preserve">3</w:t>
            </w:r>
            <w:r>
              <w:rPr>
                <w:sz w:val="20"/>
                <w:szCs w:val="20"/>
                <w:lang w:val="en-US"/>
              </w:rPr>
              <w:t xml:space="preserve"> = 0,05)</w:t>
            </w:r>
            <w:r>
              <w:rPr>
                <w:sz w:val="20"/>
                <w:szCs w:val="20"/>
              </w:rPr>
            </w:r>
            <w:r>
              <w:rPr>
                <w:sz w:val="20"/>
                <w:szCs w:val="20"/>
              </w:rPr>
            </w:r>
          </w:p>
        </w:tc>
        <w:tc>
          <w:tcPr>
            <w:shd w:val="clear" w:color="ffffff" w:fill="ffffff"/>
            <w:tcW w:w="1905" w:type="dxa"/>
            <w:textDirection w:val="lrTb"/>
            <w:noWrap w:val="false"/>
          </w:tcPr>
          <w:p>
            <w:pPr>
              <w:contextualSpacing/>
              <w:ind w:firstLine="0"/>
              <w:jc w:val="center"/>
              <w:spacing w:line="240" w:lineRule="auto"/>
              <w:rPr>
                <w:sz w:val="20"/>
                <w:szCs w:val="20"/>
              </w:rPr>
            </w:pPr>
            <w:r>
              <w:rPr>
                <w:sz w:val="20"/>
                <w:szCs w:val="20"/>
              </w:rPr>
              <w:t xml:space="preserve">Чем выше результат оценки финансового состояния (устойчивости) Участника, тем выше предпочтительность</w:t>
            </w:r>
            <w:r>
              <w:rPr>
                <w:sz w:val="20"/>
                <w:szCs w:val="20"/>
              </w:rPr>
            </w:r>
            <w:r>
              <w:rPr>
                <w:sz w:val="20"/>
                <w:szCs w:val="20"/>
              </w:rPr>
            </w:r>
          </w:p>
        </w:tc>
        <w:tc>
          <w:tcPr>
            <w:shd w:val="clear" w:color="ffffff" w:fill="ffffff"/>
            <w:tcW w:w="6801" w:type="dxa"/>
            <w:textDirection w:val="lrTb"/>
            <w:noWrap w:val="false"/>
          </w:tcPr>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Порядок осуществления оценки (значение оцениваемого параметра), в зависимости от полученного Участником (с i-ой заявкой) значения расчетного балла (интегральног</w:t>
            </w:r>
            <w:r>
              <w:rPr>
                <w:sz w:val="20"/>
                <w:szCs w:val="20"/>
                <w:lang w:eastAsia="en-US"/>
              </w:rPr>
              <w:t xml:space="preserve">о показа</w:t>
            </w:r>
            <w:r>
              <w:rPr>
                <w:sz w:val="20"/>
                <w:szCs w:val="20"/>
                <w:lang w:eastAsia="en-US"/>
              </w:rPr>
              <w:t xml:space="preserve">теля финансового состояния) и установленной соответствующей характеристики его финансового состояния (кризисное / неустойчивое / удовлетворительное) по результатам проведенной в рамках аккредитации оценки его финансового состояния (устойчивости), при этом:</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sz w:val="20"/>
                <w:szCs w:val="20"/>
              </w:rPr>
            </w:pPr>
            <w:r>
              <w:rPr>
                <w:sz w:val="20"/>
                <w:szCs w:val="20"/>
                <w:lang w:eastAsia="en-US"/>
              </w:rPr>
              <w:t xml:space="preserve">‒ порядок проведения оценки финансового состояния (устойчивости) Участника установлен Приложением 5 к Положению об аккредитации;</w:t>
            </w:r>
            <w:r>
              <w:rPr>
                <w:sz w:val="20"/>
                <w:szCs w:val="20"/>
              </w:rPr>
            </w:r>
            <w:r>
              <w:rPr>
                <w:sz w:val="20"/>
                <w:szCs w:val="20"/>
              </w:rPr>
            </w:r>
          </w:p>
          <w:p>
            <w:pPr>
              <w:numPr>
                <w:ilvl w:val="7"/>
                <w:numId w:val="0"/>
              </w:numPr>
              <w:contextualSpacing/>
              <w:ind w:firstLine="283"/>
              <w:spacing w:before="57" w:after="57" w:line="240" w:lineRule="auto"/>
              <w:rPr>
                <w:sz w:val="20"/>
                <w:szCs w:val="20"/>
              </w:rPr>
            </w:pPr>
            <w:r>
              <w:rPr>
                <w:sz w:val="20"/>
                <w:szCs w:val="20"/>
                <w:lang w:eastAsia="en-US"/>
              </w:rPr>
              <w:t xml:space="preserve">‒ исходными данными для расчета интег</w:t>
            </w:r>
            <w:r>
              <w:rPr>
                <w:sz w:val="20"/>
                <w:szCs w:val="20"/>
                <w:lang w:eastAsia="en-US"/>
              </w:rPr>
              <w:t xml:space="preserve">рального показателя финансового состояния Участника являются сведения, представленные в опубликованной 132 в государственном информационном ресурсе бухгалтерской (финансовой) отчетности организаций (https://bo.nalog.ru) за предыдущий отчетный период (год).</w:t>
            </w:r>
            <w:r>
              <w:rPr>
                <w:sz w:val="20"/>
                <w:szCs w:val="20"/>
              </w:rPr>
            </w:r>
            <w:r>
              <w:rPr>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w:t>
            </w:r>
            <w:r>
              <w:rPr>
                <w:sz w:val="20"/>
                <w:szCs w:val="20"/>
                <w:lang w:eastAsia="en-US"/>
              </w:rPr>
              <w:t xml:space="preserve">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 оценки предпочтительности по частному критерию осуществляется в соответствии со шкалой:</w:t>
            </w:r>
            <w:r>
              <w:rPr>
                <w:rFonts w:eastAsiaTheme="minorHAnsi"/>
                <w:sz w:val="20"/>
                <w:szCs w:val="20"/>
              </w:rPr>
            </w:r>
            <w:r>
              <w:rPr>
                <w:rFonts w:eastAsiaTheme="minorHAnsi"/>
                <w:sz w:val="20"/>
                <w:szCs w:val="20"/>
              </w:rPr>
            </w:r>
          </w:p>
          <w:p>
            <w:pPr>
              <w:contextualSpacing/>
              <w:ind w:firstLine="0"/>
              <w:spacing w:before="57" w:after="57" w:line="240" w:lineRule="auto"/>
              <w:rPr>
                <w:sz w:val="20"/>
                <w:szCs w:val="20"/>
              </w:rPr>
            </w:pPr>
            <w:r>
              <w:rPr>
                <w:sz w:val="20"/>
                <w:szCs w:val="20"/>
                <w:lang w:eastAsia="en-US"/>
              </w:rPr>
            </w:r>
            <w:r>
              <w:rPr>
                <w:sz w:val="20"/>
                <w:szCs w:val="20"/>
              </w:rPr>
            </w:r>
            <w:r>
              <w:rPr>
                <w:sz w:val="20"/>
                <w:szCs w:val="20"/>
              </w:rPr>
            </w:r>
          </w:p>
          <w:tbl>
            <w:tblPr>
              <w:tblStyle w:val="1211"/>
              <w:tblW w:w="0" w:type="auto"/>
              <w:tblLayout w:type="fixed"/>
              <w:tblLook w:val="04A0" w:firstRow="1" w:lastRow="0" w:firstColumn="1" w:lastColumn="0" w:noHBand="0" w:noVBand="1"/>
            </w:tblPr>
            <w:tblGrid>
              <w:gridCol w:w="872"/>
              <w:gridCol w:w="5432"/>
            </w:tblGrid>
            <w:tr>
              <w:tblPrEx/>
              <w:trPr/>
              <w:tc>
                <w:tcPr>
                  <w:tcBorders>
                    <w:top w:val="none" w:color="000000" w:sz="4" w:space="0"/>
                    <w:left w:val="none" w:color="000000" w:sz="4" w:space="0"/>
                    <w:bottom w:val="single" w:color="000000" w:sz="4" w:space="0"/>
                    <w:right w:val="single" w:color="000000" w:sz="4" w:space="0"/>
                  </w:tcBorders>
                  <w:tcW w:w="872" w:type="dxa"/>
                  <w:textDirection w:val="lrTb"/>
                  <w:noWrap w:val="false"/>
                </w:tcPr>
                <w:p>
                  <w:pPr>
                    <w:numPr>
                      <w:ilvl w:val="7"/>
                      <w:numId w:val="0"/>
                    </w:numPr>
                    <w:contextualSpacing/>
                    <w:jc w:val="left"/>
                    <w:spacing w:line="240" w:lineRule="auto"/>
                    <w:rPr>
                      <w:sz w:val="20"/>
                      <w:szCs w:val="20"/>
                    </w:rPr>
                  </w:pPr>
                  <w:r>
                    <w:rPr>
                      <w:rFonts w:eastAsiaTheme="minorHAnsi"/>
                      <w:sz w:val="20"/>
                      <w:szCs w:val="20"/>
                      <w:lang w:eastAsia="en-US"/>
                    </w:rPr>
                    <w:t xml:space="preserve">Б</w:t>
                  </w:r>
                  <w:r>
                    <w:rPr>
                      <w:sz w:val="20"/>
                      <w:szCs w:val="20"/>
                      <w:vertAlign w:val="subscript"/>
                    </w:rPr>
                    <w:t xml:space="preserve">3</w:t>
                  </w:r>
                  <w:r>
                    <w:rPr>
                      <w:rFonts w:eastAsiaTheme="minorHAnsi"/>
                      <w:sz w:val="20"/>
                      <w:szCs w:val="20"/>
                      <w:lang w:eastAsia="en-US"/>
                    </w:rPr>
                    <w:t xml:space="preserve">= 0</w:t>
                  </w:r>
                  <w:r>
                    <w:rPr>
                      <w:sz w:val="20"/>
                      <w:szCs w:val="20"/>
                    </w:rPr>
                  </w:r>
                  <w:r>
                    <w:rPr>
                      <w:sz w:val="20"/>
                      <w:szCs w:val="20"/>
                    </w:rPr>
                  </w:r>
                </w:p>
              </w:tc>
              <w:tc>
                <w:tcPr>
                  <w:tcBorders>
                    <w:top w:val="none" w:color="000000" w:sz="4" w:space="0"/>
                    <w:left w:val="single" w:color="000000" w:sz="4" w:space="0"/>
                    <w:bottom w:val="single" w:color="000000" w:sz="4" w:space="0"/>
                    <w:right w:val="none" w:color="000000" w:sz="4" w:space="0"/>
                  </w:tcBorders>
                  <w:tcW w:w="5432" w:type="dxa"/>
                  <w:textDirection w:val="lrTb"/>
                  <w:noWrap w:val="false"/>
                </w:tcPr>
                <w:p>
                  <w:pPr>
                    <w:numPr>
                      <w:ilvl w:val="7"/>
                      <w:numId w:val="0"/>
                    </w:numPr>
                    <w:contextualSpacing/>
                    <w:spacing w:before="57" w:after="57" w:line="240" w:lineRule="auto"/>
                    <w:rPr>
                      <w:rFonts w:eastAsiaTheme="minorHAnsi"/>
                      <w:sz w:val="20"/>
                      <w:szCs w:val="20"/>
                    </w:rPr>
                  </w:pPr>
                  <w:r>
                    <w:rPr>
                      <w:sz w:val="20"/>
                      <w:szCs w:val="20"/>
                      <w:lang w:eastAsia="en-US"/>
                    </w:rPr>
                    <w:t xml:space="preserve">Результат оценки финансового состояния (устойчивости): менее</w:t>
                  </w:r>
                  <w:r>
                    <w:rPr>
                      <w:rFonts w:eastAsiaTheme="minorHAnsi"/>
                      <w:sz w:val="20"/>
                      <w:szCs w:val="20"/>
                    </w:rPr>
                  </w:r>
                  <w:r>
                    <w:rPr>
                      <w:rFonts w:eastAsiaTheme="minorHAnsi"/>
                      <w:sz w:val="20"/>
                      <w:szCs w:val="20"/>
                    </w:rPr>
                  </w:r>
                </w:p>
                <w:p>
                  <w:pPr>
                    <w:numPr>
                      <w:ilvl w:val="7"/>
                      <w:numId w:val="0"/>
                    </w:numPr>
                    <w:contextualSpacing/>
                    <w:spacing w:before="57" w:after="57" w:line="240" w:lineRule="auto"/>
                    <w:rPr>
                      <w:rFonts w:eastAsiaTheme="minorHAnsi"/>
                      <w:sz w:val="20"/>
                      <w:szCs w:val="20"/>
                    </w:rPr>
                  </w:pPr>
                  <w:r>
                    <w:rPr>
                      <w:sz w:val="20"/>
                      <w:szCs w:val="20"/>
                      <w:lang w:eastAsia="en-US"/>
                    </w:rPr>
                    <w:t xml:space="preserve">0,45 балла – Кризисное финансовое состояние;</w:t>
                  </w:r>
                  <w:r>
                    <w:rPr>
                      <w:rFonts w:eastAsiaTheme="minorHAnsi"/>
                      <w:sz w:val="20"/>
                      <w:szCs w:val="20"/>
                    </w:rPr>
                  </w:r>
                  <w:r>
                    <w:rPr>
                      <w:rFonts w:eastAsiaTheme="minorHAnsi"/>
                      <w:sz w:val="20"/>
                      <w:szCs w:val="20"/>
                    </w:rPr>
                  </w:r>
                </w:p>
                <w:p>
                  <w:pPr>
                    <w:numPr>
                      <w:ilvl w:val="7"/>
                      <w:numId w:val="0"/>
                    </w:numPr>
                    <w:contextualSpacing/>
                    <w:spacing w:before="57" w:after="57" w:line="240" w:lineRule="auto"/>
                    <w:rPr>
                      <w:rFonts w:eastAsiaTheme="minorHAnsi"/>
                      <w:sz w:val="20"/>
                      <w:szCs w:val="20"/>
                    </w:rPr>
                  </w:pPr>
                  <w:r>
                    <w:rPr>
                      <w:sz w:val="20"/>
                      <w:szCs w:val="20"/>
                      <w:lang w:eastAsia="en-US"/>
                    </w:rPr>
                    <w:t xml:space="preserve">или</w:t>
                  </w:r>
                  <w:r>
                    <w:rPr>
                      <w:rFonts w:eastAsiaTheme="minorHAnsi"/>
                      <w:sz w:val="20"/>
                      <w:szCs w:val="20"/>
                    </w:rPr>
                  </w:r>
                  <w:r>
                    <w:rPr>
                      <w:rFonts w:eastAsiaTheme="minorHAnsi"/>
                      <w:sz w:val="20"/>
                      <w:szCs w:val="20"/>
                    </w:rPr>
                  </w:r>
                </w:p>
                <w:p>
                  <w:pPr>
                    <w:numPr>
                      <w:ilvl w:val="7"/>
                      <w:numId w:val="0"/>
                    </w:numPr>
                    <w:contextualSpacing/>
                    <w:spacing w:before="57" w:after="57" w:line="240" w:lineRule="auto"/>
                    <w:rPr>
                      <w:rFonts w:eastAsiaTheme="minorHAnsi"/>
                      <w:sz w:val="20"/>
                      <w:szCs w:val="20"/>
                    </w:rPr>
                  </w:pPr>
                  <w:r>
                    <w:rPr>
                      <w:sz w:val="20"/>
                      <w:szCs w:val="20"/>
                      <w:lang w:eastAsia="en-US"/>
                    </w:rPr>
                    <w:t xml:space="preserve">в случае отсутствия исходных данных для оценки финансового состояния Участника, в том числе если он является:</w:t>
                  </w:r>
                  <w:r>
                    <w:rPr>
                      <w:rFonts w:eastAsiaTheme="minorHAnsi"/>
                      <w:sz w:val="20"/>
                      <w:szCs w:val="20"/>
                    </w:rPr>
                  </w:r>
                  <w:r>
                    <w:rPr>
                      <w:rFonts w:eastAsiaTheme="minorHAnsi"/>
                      <w:sz w:val="20"/>
                      <w:szCs w:val="20"/>
                    </w:rPr>
                  </w:r>
                </w:p>
                <w:p>
                  <w:pPr>
                    <w:numPr>
                      <w:ilvl w:val="7"/>
                      <w:numId w:val="0"/>
                    </w:numPr>
                    <w:contextualSpacing/>
                    <w:spacing w:before="57" w:after="57" w:line="240" w:lineRule="auto"/>
                    <w:rPr>
                      <w:rFonts w:eastAsiaTheme="minorHAnsi"/>
                      <w:sz w:val="20"/>
                      <w:szCs w:val="20"/>
                    </w:rPr>
                  </w:pPr>
                  <w:r>
                    <w:rPr>
                      <w:sz w:val="20"/>
                      <w:szCs w:val="20"/>
                      <w:lang w:eastAsia="en-US"/>
                    </w:rPr>
                    <w:t xml:space="preserve">– вновь созданным юридическим лицом, которое на дату подачи</w:t>
                  </w:r>
                  <w:r>
                    <w:rPr>
                      <w:rFonts w:eastAsiaTheme="minorHAnsi"/>
                      <w:sz w:val="20"/>
                      <w:szCs w:val="20"/>
                      <w:lang w:eastAsia="en-US"/>
                    </w:rPr>
                    <w:t xml:space="preserve"> </w:t>
                  </w:r>
                  <w:r>
                    <w:rPr>
                      <w:sz w:val="20"/>
                      <w:szCs w:val="20"/>
                      <w:lang w:eastAsia="en-US"/>
                    </w:rPr>
                    <w:t xml:space="preserve">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r>
                    <w:rPr>
                      <w:rFonts w:eastAsiaTheme="minorHAnsi"/>
                      <w:sz w:val="20"/>
                      <w:szCs w:val="20"/>
                    </w:rPr>
                  </w:r>
                  <w:r>
                    <w:rPr>
                      <w:rFonts w:eastAsiaTheme="minorHAnsi"/>
                      <w:sz w:val="20"/>
                      <w:szCs w:val="20"/>
                    </w:rPr>
                  </w:r>
                </w:p>
                <w:p>
                  <w:pPr>
                    <w:numPr>
                      <w:ilvl w:val="7"/>
                      <w:numId w:val="0"/>
                    </w:numPr>
                    <w:contextualSpacing/>
                    <w:spacing w:before="57" w:after="57" w:line="240" w:lineRule="auto"/>
                    <w:rPr>
                      <w:rFonts w:eastAsiaTheme="minorHAnsi"/>
                      <w:sz w:val="20"/>
                      <w:szCs w:val="20"/>
                    </w:rPr>
                  </w:pPr>
                  <w:r>
                    <w:rPr>
                      <w:sz w:val="20"/>
                      <w:szCs w:val="20"/>
                      <w:lang w:eastAsia="en-US"/>
                    </w:rPr>
                    <w:t xml:space="preserve">– 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r>
                    <w:rPr>
                      <w:rFonts w:eastAsiaTheme="minorHAnsi"/>
                      <w:sz w:val="20"/>
                      <w:szCs w:val="20"/>
                    </w:rPr>
                  </w:r>
                  <w:r>
                    <w:rPr>
                      <w:rFonts w:eastAsiaTheme="minorHAnsi"/>
                      <w:sz w:val="20"/>
                      <w:szCs w:val="20"/>
                    </w:rPr>
                  </w:r>
                </w:p>
              </w:tc>
            </w:tr>
            <w:tr>
              <w:tblPrEx/>
              <w:trPr>
                <w:trHeight w:val="878"/>
              </w:trPr>
              <w:tc>
                <w:tcPr>
                  <w:tcBorders>
                    <w:top w:val="single" w:color="000000" w:sz="4" w:space="0"/>
                    <w:left w:val="none" w:color="000000" w:sz="4" w:space="0"/>
                    <w:bottom w:val="single" w:color="000000" w:sz="4" w:space="0"/>
                    <w:right w:val="single" w:color="000000" w:sz="4" w:space="0"/>
                  </w:tcBorders>
                  <w:tcW w:w="872" w:type="dxa"/>
                  <w:textDirection w:val="lrTb"/>
                  <w:noWrap w:val="false"/>
                </w:tcPr>
                <w:p>
                  <w:pPr>
                    <w:numPr>
                      <w:ilvl w:val="7"/>
                      <w:numId w:val="0"/>
                    </w:numPr>
                    <w:contextualSpacing/>
                    <w:jc w:val="left"/>
                    <w:spacing w:line="240" w:lineRule="auto"/>
                    <w:rPr>
                      <w:sz w:val="20"/>
                      <w:szCs w:val="20"/>
                    </w:rPr>
                  </w:pPr>
                  <w:r>
                    <w:rPr>
                      <w:rFonts w:eastAsiaTheme="minorHAnsi"/>
                      <w:sz w:val="20"/>
                      <w:szCs w:val="20"/>
                      <w:lang w:eastAsia="en-US"/>
                    </w:rPr>
                    <w:t xml:space="preserve">Б</w:t>
                  </w:r>
                  <w:r>
                    <w:rPr>
                      <w:sz w:val="20"/>
                      <w:szCs w:val="20"/>
                      <w:vertAlign w:val="subscript"/>
                    </w:rPr>
                    <w:t xml:space="preserve">3</w:t>
                  </w:r>
                  <w:r>
                    <w:rPr>
                      <w:rFonts w:eastAsiaTheme="minorHAnsi"/>
                      <w:sz w:val="20"/>
                      <w:szCs w:val="20"/>
                      <w:lang w:eastAsia="en-US"/>
                    </w:rPr>
                    <w:t xml:space="preserve">= 3</w:t>
                  </w:r>
                  <w:r>
                    <w:rPr>
                      <w:sz w:val="20"/>
                      <w:szCs w:val="20"/>
                    </w:rPr>
                  </w:r>
                  <w:r>
                    <w:rPr>
                      <w:sz w:val="20"/>
                      <w:szCs w:val="20"/>
                    </w:rPr>
                  </w:r>
                </w:p>
              </w:tc>
              <w:tc>
                <w:tcPr>
                  <w:tcBorders>
                    <w:top w:val="single" w:color="000000" w:sz="4" w:space="0"/>
                    <w:left w:val="single" w:color="000000" w:sz="4" w:space="0"/>
                    <w:bottom w:val="single" w:color="000000" w:sz="4" w:space="0"/>
                    <w:right w:val="none" w:color="000000" w:sz="4" w:space="0"/>
                  </w:tcBorders>
                  <w:tcW w:w="5432" w:type="dxa"/>
                  <w:textDirection w:val="lrTb"/>
                  <w:noWrap w:val="false"/>
                </w:tcPr>
                <w:p>
                  <w:pPr>
                    <w:numPr>
                      <w:ilvl w:val="7"/>
                      <w:numId w:val="0"/>
                    </w:numPr>
                    <w:contextualSpacing/>
                    <w:spacing w:before="57" w:after="57" w:line="240" w:lineRule="auto"/>
                    <w:rPr>
                      <w:rFonts w:eastAsiaTheme="minorHAnsi"/>
                      <w:sz w:val="20"/>
                      <w:szCs w:val="20"/>
                    </w:rPr>
                  </w:pPr>
                  <w:r>
                    <w:rPr>
                      <w:sz w:val="20"/>
                      <w:szCs w:val="20"/>
                      <w:lang w:eastAsia="en-US"/>
                    </w:rPr>
                    <w:t xml:space="preserve">Результат оценки финансового состояния (устойчивости): от 0,45 балла включительно до 0,90 балла включительно – Неустойчивое финансовое состояние;</w:t>
                  </w:r>
                  <w:r>
                    <w:rPr>
                      <w:rFonts w:eastAsiaTheme="minorHAnsi"/>
                      <w:sz w:val="20"/>
                      <w:szCs w:val="20"/>
                    </w:rPr>
                  </w:r>
                  <w:r>
                    <w:rPr>
                      <w:rFonts w:eastAsiaTheme="minorHAnsi"/>
                      <w:sz w:val="20"/>
                      <w:szCs w:val="20"/>
                    </w:rPr>
                  </w:r>
                </w:p>
              </w:tc>
            </w:tr>
            <w:tr>
              <w:tblPrEx/>
              <w:trPr/>
              <w:tc>
                <w:tcPr>
                  <w:tcBorders>
                    <w:top w:val="single" w:color="000000" w:sz="4" w:space="0"/>
                    <w:left w:val="none" w:color="000000" w:sz="4" w:space="0"/>
                    <w:bottom w:val="none" w:color="000000" w:sz="4" w:space="0"/>
                    <w:right w:val="single" w:color="000000" w:sz="4" w:space="0"/>
                  </w:tcBorders>
                  <w:tcW w:w="872" w:type="dxa"/>
                  <w:textDirection w:val="lrTb"/>
                  <w:noWrap w:val="false"/>
                </w:tcPr>
                <w:p>
                  <w:pPr>
                    <w:numPr>
                      <w:ilvl w:val="7"/>
                      <w:numId w:val="0"/>
                    </w:numPr>
                    <w:contextualSpacing/>
                    <w:jc w:val="left"/>
                    <w:spacing w:line="240" w:lineRule="auto"/>
                    <w:rPr>
                      <w:sz w:val="20"/>
                      <w:szCs w:val="20"/>
                    </w:rPr>
                  </w:pPr>
                  <w:r>
                    <w:rPr>
                      <w:rFonts w:eastAsiaTheme="minorHAnsi"/>
                      <w:sz w:val="20"/>
                      <w:szCs w:val="20"/>
                      <w:lang w:eastAsia="en-US"/>
                    </w:rPr>
                    <w:t xml:space="preserve">Б</w:t>
                  </w:r>
                  <w:r>
                    <w:rPr>
                      <w:sz w:val="20"/>
                      <w:szCs w:val="20"/>
                      <w:vertAlign w:val="subscript"/>
                    </w:rPr>
                    <w:t xml:space="preserve">3</w:t>
                  </w:r>
                  <w:r>
                    <w:rPr>
                      <w:rFonts w:eastAsiaTheme="minorHAnsi"/>
                      <w:sz w:val="20"/>
                      <w:szCs w:val="20"/>
                      <w:lang w:eastAsia="en-US"/>
                    </w:rPr>
                    <w:t xml:space="preserve">= 5</w:t>
                  </w:r>
                  <w:r>
                    <w:rPr>
                      <w:sz w:val="20"/>
                      <w:szCs w:val="20"/>
                    </w:rPr>
                  </w:r>
                  <w:r>
                    <w:rPr>
                      <w:sz w:val="20"/>
                      <w:szCs w:val="20"/>
                    </w:rPr>
                  </w:r>
                </w:p>
              </w:tc>
              <w:tc>
                <w:tcPr>
                  <w:tcBorders>
                    <w:top w:val="single" w:color="000000" w:sz="4" w:space="0"/>
                    <w:left w:val="single" w:color="000000" w:sz="4" w:space="0"/>
                    <w:bottom w:val="none" w:color="000000" w:sz="4" w:space="0"/>
                    <w:right w:val="none" w:color="000000" w:sz="4" w:space="0"/>
                  </w:tcBorders>
                  <w:tcW w:w="5432" w:type="dxa"/>
                  <w:textDirection w:val="lrTb"/>
                  <w:noWrap w:val="false"/>
                </w:tcPr>
                <w:p>
                  <w:pPr>
                    <w:numPr>
                      <w:ilvl w:val="7"/>
                      <w:numId w:val="0"/>
                    </w:numPr>
                    <w:contextualSpacing/>
                    <w:spacing w:before="57" w:after="57" w:line="240" w:lineRule="auto"/>
                    <w:rPr>
                      <w:rFonts w:eastAsiaTheme="minorHAnsi"/>
                      <w:sz w:val="20"/>
                      <w:szCs w:val="20"/>
                    </w:rPr>
                  </w:pPr>
                  <w:r>
                    <w:rPr>
                      <w:sz w:val="20"/>
                      <w:szCs w:val="20"/>
                      <w:lang w:eastAsia="en-US"/>
                    </w:rPr>
                    <w:t xml:space="preserve">Результат оценки финансового состояния (устойчивости): более 0,90 балла – Удовлетворительное финансовое состояние.</w:t>
                  </w:r>
                  <w:r>
                    <w:rPr>
                      <w:rFonts w:eastAsiaTheme="minorHAnsi"/>
                      <w:sz w:val="20"/>
                      <w:szCs w:val="20"/>
                    </w:rPr>
                  </w:r>
                  <w:r>
                    <w:rPr>
                      <w:rFonts w:eastAsiaTheme="minorHAnsi"/>
                      <w:sz w:val="20"/>
                      <w:szCs w:val="20"/>
                    </w:rPr>
                  </w:r>
                </w:p>
              </w:tc>
            </w:tr>
          </w:tbl>
          <w:p>
            <w:pPr>
              <w:ind w:firstLine="0"/>
              <w:spacing w:before="120" w:line="360" w:lineRule="exact"/>
              <w:rPr>
                <w:rFonts w:eastAsiaTheme="minorHAnsi"/>
                <w:sz w:val="20"/>
                <w:szCs w:val="20"/>
              </w:rPr>
              <w:outlineLvl w:val="3"/>
            </w:pPr>
            <w:r>
              <w:rPr>
                <w:sz w:val="20"/>
                <w:szCs w:val="20"/>
                <w:lang w:eastAsia="en-US"/>
              </w:rPr>
              <w:t xml:space="preserve">где:</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Б</w:t>
            </w:r>
            <w:r>
              <w:rPr>
                <w:sz w:val="20"/>
                <w:szCs w:val="20"/>
                <w:vertAlign w:val="subscript"/>
                <w:lang w:eastAsia="en-US"/>
              </w:rPr>
              <w:t xml:space="preserve">3</w:t>
            </w:r>
            <w:r>
              <w:rPr>
                <w:sz w:val="20"/>
                <w:szCs w:val="20"/>
                <w:lang w:eastAsia="en-US"/>
              </w:rPr>
              <w:t xml:space="preserve"> – рассчитанная оценка предпочтительности по данному частному критерию оценки в баллах.</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r>
              <w:rPr>
                <w:rFonts w:eastAsiaTheme="minorHAnsi"/>
                <w:sz w:val="20"/>
                <w:szCs w:val="20"/>
              </w:rPr>
            </w:r>
            <w:r>
              <w:rPr>
                <w:rFonts w:eastAsiaTheme="minorHAnsi"/>
                <w:sz w:val="20"/>
                <w:szCs w:val="20"/>
              </w:rPr>
            </w:r>
          </w:p>
          <w:p>
            <w:pPr>
              <w:numPr>
                <w:ilvl w:val="7"/>
                <w:numId w:val="0"/>
              </w:numPr>
              <w:contextualSpacing/>
              <w:ind w:firstLine="283"/>
              <w:spacing w:before="57" w:after="57" w:line="240" w:lineRule="auto"/>
              <w:rPr>
                <w:rFonts w:eastAsiaTheme="minorHAnsi"/>
                <w:sz w:val="20"/>
                <w:szCs w:val="20"/>
              </w:rPr>
            </w:pPr>
            <w:r>
              <w:rPr>
                <w:sz w:val="20"/>
                <w:szCs w:val="20"/>
                <w:lang w:eastAsia="en-US"/>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w:t>
            </w:r>
            <w:r>
              <w:rPr>
                <w:sz w:val="20"/>
                <w:szCs w:val="20"/>
                <w:lang w:eastAsia="en-US"/>
              </w:rPr>
              <w:t xml:space="preserve">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No ___</w:t>
            </w:r>
            <w:r>
              <w:rPr>
                <w:rFonts w:eastAsiaTheme="minorHAnsi"/>
                <w:sz w:val="20"/>
                <w:szCs w:val="20"/>
              </w:rPr>
            </w:r>
            <w:r>
              <w:rPr>
                <w:rFonts w:eastAsiaTheme="minorHAnsi"/>
                <w:sz w:val="20"/>
                <w:szCs w:val="20"/>
              </w:rPr>
            </w:r>
          </w:p>
          <w:p>
            <w:pPr>
              <w:rPr>
                <w:sz w:val="20"/>
                <w:szCs w:val="20"/>
              </w:rPr>
            </w:pPr>
            <w:r>
              <w:rPr>
                <w:sz w:val="20"/>
                <w:szCs w:val="20"/>
              </w:rPr>
            </w:r>
            <w:r>
              <w:rPr>
                <w:sz w:val="20"/>
                <w:szCs w:val="20"/>
              </w:rPr>
            </w:r>
            <w:r>
              <w:rPr>
                <w:sz w:val="20"/>
                <w:szCs w:val="20"/>
              </w:rPr>
            </w:r>
          </w:p>
        </w:tc>
      </w:tr>
      <w:tr>
        <w:tblPrEx/>
        <w:trPr>
          <w:trHeight w:val="3413"/>
        </w:trPr>
        <w:tc>
          <w:tcPr>
            <w:gridSpan w:val="4"/>
            <w:shd w:val="clear" w:color="ffffff" w:fill="ffffff"/>
            <w:tcW w:w="5307" w:type="dxa"/>
            <w:textDirection w:val="lrTb"/>
            <w:noWrap w:val="false"/>
          </w:tcPr>
          <w:p>
            <w:pPr>
              <w:numPr>
                <w:ilvl w:val="7"/>
                <w:numId w:val="0"/>
              </w:numPr>
              <w:jc w:val="left"/>
              <w:spacing w:line="240" w:lineRule="auto"/>
              <w:rPr>
                <w:rFonts w:eastAsia="Calibri"/>
                <w:sz w:val="20"/>
                <w:szCs w:val="20"/>
              </w:rPr>
            </w:pPr>
            <w:r>
              <w:rPr>
                <w:rFonts w:eastAsia="Calibri"/>
                <w:sz w:val="20"/>
                <w:szCs w:val="20"/>
              </w:rPr>
              <w:t xml:space="preserve">Итоговая оценка предпочтительности заявки:</w:t>
            </w:r>
            <w:r>
              <w:rPr>
                <w:rFonts w:eastAsia="Calibri"/>
                <w:sz w:val="20"/>
                <w:szCs w:val="20"/>
              </w:rPr>
            </w:r>
            <w:r>
              <w:rPr>
                <w:rFonts w:eastAsia="Calibri"/>
                <w:sz w:val="20"/>
                <w:szCs w:val="20"/>
              </w:rPr>
            </w:r>
          </w:p>
          <w:p>
            <w:pPr>
              <w:numPr>
                <w:ilvl w:val="7"/>
                <w:numId w:val="0"/>
              </w:numPr>
              <w:jc w:val="right"/>
              <w:spacing w:line="240" w:lineRule="auto"/>
              <w:rPr>
                <w:rFonts w:eastAsia="Calibri"/>
                <w:sz w:val="20"/>
                <w:szCs w:val="20"/>
              </w:rPr>
            </w:pPr>
            <w:r>
              <w:rPr>
                <w:rFonts w:eastAsia="Calibri"/>
                <w:sz w:val="20"/>
                <w:szCs w:val="20"/>
              </w:rPr>
            </w:r>
            <w:r>
              <w:rPr>
                <w:rFonts w:eastAsia="Calibri"/>
                <w:sz w:val="20"/>
                <w:szCs w:val="20"/>
              </w:rPr>
            </w:r>
            <w:r>
              <w:rPr>
                <w:rFonts w:eastAsia="Calibri"/>
                <w:sz w:val="20"/>
                <w:szCs w:val="20"/>
              </w:rPr>
            </w:r>
          </w:p>
        </w:tc>
        <w:tc>
          <w:tcPr>
            <w:gridSpan w:val="3"/>
            <w:shd w:val="clear" w:color="ffffff" w:fill="ffffff"/>
            <w:tcW w:w="9863" w:type="dxa"/>
            <w:textDirection w:val="lrTb"/>
            <w:noWrap w:val="false"/>
          </w:tcPr>
          <w:p>
            <w:pPr>
              <w:numPr>
                <w:ilvl w:val="6"/>
                <w:numId w:val="0"/>
              </w:numPr>
              <w:jc w:val="left"/>
              <w:spacing w:line="360" w:lineRule="exact"/>
              <w:rPr>
                <w:rFonts w:eastAsia="Calibri"/>
                <w:sz w:val="20"/>
                <w:szCs w:val="20"/>
              </w:rPr>
            </w:pPr>
            <w:r>
              <w:rPr>
                <w:rFonts w:eastAsia="Calibri"/>
                <w:sz w:val="20"/>
                <w:szCs w:val="20"/>
                <w:lang w:eastAsia="en-US"/>
              </w:rPr>
              <w:t xml:space="preserve">Расчет итоговой оценки предпочтительности </w:t>
            </w:r>
            <w:r>
              <w:rPr>
                <w:rFonts w:eastAsia="Calibri"/>
                <w:i/>
                <w:sz w:val="20"/>
                <w:szCs w:val="20"/>
                <w:lang w:val="en-US" w:eastAsia="en-US"/>
              </w:rPr>
              <w:t xml:space="preserve">i</w:t>
            </w:r>
            <w:r>
              <w:rPr>
                <w:rFonts w:eastAsia="Calibri"/>
                <w:sz w:val="20"/>
                <w:szCs w:val="20"/>
                <w:lang w:eastAsia="en-US"/>
              </w:rPr>
              <w:t xml:space="preserve">-ой заявки:</w:t>
            </w:r>
            <w:r>
              <w:rPr>
                <w:rFonts w:eastAsia="Calibri"/>
                <w:sz w:val="20"/>
                <w:szCs w:val="20"/>
              </w:rPr>
            </w:r>
            <w:r>
              <w:rPr>
                <w:rFonts w:eastAsia="Calibri"/>
                <w:sz w:val="20"/>
                <w:szCs w:val="20"/>
              </w:rPr>
            </w:r>
          </w:p>
          <w:p>
            <w:pPr>
              <w:numPr>
                <w:ilvl w:val="6"/>
                <w:numId w:val="0"/>
              </w:numPr>
              <w:jc w:val="center"/>
              <w:keepNext/>
              <w:spacing w:line="360" w:lineRule="exact"/>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r>
                      <w:rPr>
                        <w:rFonts w:ascii="Cambria Math" w:hAnsi="Cambria Math" w:eastAsia="Calibri"/>
                        <w:sz w:val="20"/>
                        <w:szCs w:val="20"/>
                        <w:lang w:eastAsia="en-US"/>
                      </w:rPr>
                      <m:rPr>
                        <m:sty m:val="p"/>
                      </m:rPr>
                      <m:t>ИТОГ</m:t>
                    </m:r>
                  </m:sub>
                </m:sSub>
                <m:r>
                  <w:rPr>
                    <w:rFonts w:ascii="Cambria Math" w:hAnsi="Cambria Math" w:eastAsia="Calibri"/>
                    <w:sz w:val="20"/>
                    <w:szCs w:val="20"/>
                    <w:lang w:eastAsia="en-US"/>
                  </w:rPr>
                  <m:rPr>
                    <m:sty m:val="p"/>
                  </m:rPr>
                  <m:t>=</m:t>
                </m:r>
                <m:nary>
                  <m:naryPr>
                    <m:chr m:val="∑"/>
                    <m:grow m:val="off"/>
                    <m:limLoc m:val="undOvr"/>
                    <m:subHide m:val="on"/>
                    <m:supHide m:val="on"/>
                    <m:ctrlPr>
                      <w:rPr>
                        <w:rFonts w:ascii="Cambria Math" w:hAnsi="Cambria Math" w:eastAsia="Cambria Math" w:cs="Cambria Math"/>
                        <w:sz w:val="20"/>
                        <w:szCs w:val="18"/>
                        <w:lang w:eastAsia="en-US"/>
                      </w:rPr>
                    </m:ctrlPr>
                  </m:naryPr>
                  <m:sub/>
                  <m:sup/>
                  <m:e>
                    <m:d>
                      <m:dPr>
                        <m:ctrlPr>
                          <w:rPr>
                            <w:rFonts w:ascii="Cambria Math" w:hAnsi="Cambria Math" w:eastAsia="Cambria Math" w:cs="Cambria Math"/>
                            <w:sz w:val="20"/>
                            <w:szCs w:val="18"/>
                            <w:lang w:eastAsia="en-US"/>
                          </w:rPr>
                        </m:ctrlPr>
                      </m:dPr>
                      <m:e>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уровень</m:t>
                                </m:r>
                              </m:e>
                              <m:sub>
                                <m:r>
                                  <w:rPr>
                                    <w:rFonts w:ascii="Cambria Math" w:hAnsi="Cambria Math" w:eastAsia="Calibri"/>
                                    <w:sz w:val="20"/>
                                    <w:szCs w:val="20"/>
                                    <w:lang w:val="en-US" w:eastAsia="en-US"/>
                                  </w:rPr>
                                  <m:rPr>
                                    <m:sty m:val="p"/>
                                  </m:rPr>
                                  <m:t>k</m:t>
                                </m:r>
                              </m:sub>
                            </m:sSub>
                          </m:sub>
                        </m:sSub>
                        <m:r>
                          <w:rPr>
                            <w:rFonts w:ascii="Cambria Math" w:hAnsi="Cambria Math" w:eastAsia="Calibri"/>
                            <w:sz w:val="20"/>
                            <w:szCs w:val="20"/>
                            <w:lang w:eastAsia="en-US"/>
                          </w:rPr>
                          <m:rPr>
                            <m:sty m:val="p"/>
                          </m:rPr>
                          <m:t>×</m:t>
                        </m:r>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В</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уровнь</m:t>
                                </m:r>
                              </m:e>
                              <m:sub>
                                <m:r>
                                  <w:rPr>
                                    <w:rFonts w:ascii="Cambria Math" w:hAnsi="Cambria Math" w:eastAsia="Calibri"/>
                                    <w:sz w:val="20"/>
                                    <w:szCs w:val="20"/>
                                    <w:lang w:val="en-US" w:eastAsia="en-US"/>
                                  </w:rPr>
                                  <m:rPr>
                                    <m:sty m:val="p"/>
                                  </m:rPr>
                                  <m:t>k</m:t>
                                </m:r>
                              </m:sub>
                            </m:sSub>
                          </m:sub>
                        </m:sSub>
                      </m:e>
                    </m:d>
                  </m:e>
                </m:nary>
              </m:oMath>
            </m:oMathPara>
            <w:r>
              <w:rPr>
                <w:rFonts w:eastAsia="Calibri"/>
                <w:sz w:val="20"/>
                <w:szCs w:val="20"/>
              </w:rPr>
            </w:r>
            <w:r>
              <w:rPr>
                <w:rFonts w:eastAsia="Calibri"/>
                <w:sz w:val="20"/>
                <w:szCs w:val="20"/>
              </w:rPr>
            </w:r>
          </w:p>
          <w:p>
            <w:pPr>
              <w:numPr>
                <w:ilvl w:val="6"/>
                <w:numId w:val="0"/>
              </w:numPr>
              <w:jc w:val="left"/>
              <w:keepNext/>
              <w:spacing w:line="360" w:lineRule="exact"/>
              <w:rPr>
                <w:rFonts w:eastAsia="Calibri"/>
                <w:sz w:val="20"/>
                <w:szCs w:val="20"/>
              </w:rPr>
            </w:pPr>
            <w:r>
              <w:rPr>
                <w:rFonts w:eastAsia="Calibri"/>
                <w:sz w:val="20"/>
                <w:szCs w:val="20"/>
                <w:lang w:eastAsia="en-US"/>
              </w:rPr>
              <w:t xml:space="preserve">где:</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ИТОГ</w:t>
            </w:r>
            <w:r>
              <w:rPr>
                <w:rFonts w:eastAsia="Calibri"/>
                <w:sz w:val="20"/>
                <w:szCs w:val="20"/>
                <w:lang w:eastAsia="en-US"/>
              </w:rPr>
              <w:tab/>
              <w:t xml:space="preserve">–</w:t>
            </w:r>
            <w:r>
              <w:rPr>
                <w:rFonts w:eastAsia="Calibri"/>
                <w:sz w:val="20"/>
                <w:szCs w:val="20"/>
                <w:lang w:eastAsia="en-US"/>
              </w:rPr>
              <w:tab/>
              <w:t xml:space="preserve">рассчитанная итоговая оценка предпочтительности в баллах;</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 уровень k</w:t>
            </w:r>
            <w:r>
              <w:rPr>
                <w:rFonts w:eastAsia="Calibri"/>
                <w:sz w:val="20"/>
                <w:szCs w:val="20"/>
                <w:lang w:eastAsia="en-US"/>
              </w:rPr>
              <w:tab/>
              <w:t xml:space="preserve">–</w:t>
            </w:r>
            <w:r>
              <w:rPr>
                <w:rFonts w:eastAsia="Calibri"/>
                <w:sz w:val="20"/>
                <w:szCs w:val="20"/>
                <w:lang w:eastAsia="en-US"/>
              </w:rPr>
              <w:tab/>
              <w:t xml:space="preserve">оценка предпочтительности по k-тому критерию оценки первого уровня в баллах;</w:t>
            </w:r>
            <w:r>
              <w:rPr>
                <w:rFonts w:eastAsia="Calibri"/>
                <w:sz w:val="20"/>
                <w:szCs w:val="20"/>
              </w:rPr>
            </w:r>
            <w:r>
              <w:rPr>
                <w:rFonts w:eastAsia="Calibri"/>
                <w:sz w:val="20"/>
                <w:szCs w:val="20"/>
              </w:rPr>
            </w:r>
          </w:p>
          <w:p>
            <w:pPr>
              <w:numPr>
                <w:ilvl w:val="6"/>
                <w:numId w:val="0"/>
              </w:numPr>
              <w:jc w:val="left"/>
              <w:spacing w:line="240" w:lineRule="auto"/>
              <w:tabs>
                <w:tab w:val="left" w:pos="742" w:leader="none"/>
                <w:tab w:val="left" w:pos="1167" w:leader="none"/>
              </w:tabs>
              <w:rPr>
                <w:rFonts w:eastAsia="Calibri"/>
                <w:spacing w:val="-4"/>
                <w:sz w:val="20"/>
                <w:szCs w:val="20"/>
              </w:rPr>
            </w:pPr>
            <w:r>
              <w:rPr>
                <w:rFonts w:eastAsia="Calibri"/>
                <w:spacing w:val="-4"/>
                <w:sz w:val="20"/>
                <w:szCs w:val="20"/>
                <w:lang w:eastAsia="en-US"/>
              </w:rPr>
              <w:t xml:space="preserve">В</w:t>
            </w:r>
            <w:r>
              <w:rPr>
                <w:rFonts w:eastAsia="Calibri"/>
                <w:spacing w:val="-4"/>
                <w:sz w:val="20"/>
                <w:szCs w:val="20"/>
                <w:vertAlign w:val="subscript"/>
                <w:lang w:eastAsia="en-US"/>
              </w:rPr>
              <w:t xml:space="preserve">1 уровень k</w:t>
            </w:r>
            <w:r>
              <w:rPr>
                <w:rFonts w:eastAsia="Calibri"/>
                <w:spacing w:val="-4"/>
                <w:sz w:val="20"/>
                <w:szCs w:val="20"/>
                <w:lang w:eastAsia="en-US"/>
              </w:rPr>
              <w:tab/>
              <w:t xml:space="preserve">–</w:t>
            </w:r>
            <w:r>
              <w:rPr>
                <w:rFonts w:eastAsia="Calibri"/>
                <w:spacing w:val="-4"/>
                <w:sz w:val="20"/>
                <w:szCs w:val="20"/>
                <w:lang w:eastAsia="en-US"/>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pacing w:val="-4"/>
                <w:sz w:val="20"/>
                <w:szCs w:val="20"/>
              </w:rPr>
            </w:r>
            <w:r>
              <w:rPr>
                <w:rFonts w:eastAsia="Calibri"/>
                <w:spacing w:val="-4"/>
                <w:sz w:val="20"/>
                <w:szCs w:val="20"/>
              </w:rPr>
            </w:r>
          </w:p>
          <w:p>
            <w:pPr>
              <w:numPr>
                <w:ilvl w:val="6"/>
                <w:numId w:val="0"/>
              </w:numPr>
              <w:jc w:val="left"/>
              <w:spacing w:line="240" w:lineRule="auto"/>
              <w:tabs>
                <w:tab w:val="left" w:pos="742" w:leader="none"/>
                <w:tab w:val="left" w:pos="1167" w:leader="none"/>
              </w:tabs>
              <w:rPr>
                <w:rFonts w:eastAsia="Calibri"/>
                <w:sz w:val="20"/>
                <w:szCs w:val="20"/>
              </w:rPr>
            </w:pPr>
            <w:r>
              <w:rPr>
                <w:rFonts w:eastAsiaTheme="minorHAnsi"/>
                <w:i/>
                <w:iCs/>
                <w:sz w:val="20"/>
                <w:szCs w:val="20"/>
                <w:lang w:eastAsia="en-US"/>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0"/>
                <w:szCs w:val="20"/>
              </w:rPr>
            </w:r>
            <w:r>
              <w:rPr>
                <w:rFonts w:eastAsia="Calibri"/>
                <w:sz w:val="20"/>
                <w:szCs w:val="20"/>
              </w:rPr>
            </w:r>
          </w:p>
          <w:p>
            <w:pPr>
              <w:numPr>
                <w:ilvl w:val="6"/>
                <w:numId w:val="0"/>
              </w:numPr>
              <w:jc w:val="left"/>
              <w:spacing w:line="360" w:lineRule="exact"/>
              <w:rPr>
                <w:rFonts w:eastAsia="Calibri"/>
                <w:sz w:val="20"/>
                <w:szCs w:val="20"/>
              </w:rPr>
            </w:pPr>
            <w:r>
              <w:rPr>
                <w:rFonts w:eastAsia="Calibri"/>
                <w:sz w:val="20"/>
                <w:szCs w:val="20"/>
                <w:lang w:eastAsia="en-US"/>
              </w:rPr>
            </w:r>
            <w:r>
              <w:rPr>
                <w:rFonts w:eastAsia="Calibri"/>
                <w:sz w:val="20"/>
                <w:szCs w:val="20"/>
              </w:rPr>
            </w:r>
            <w:r>
              <w:rPr>
                <w:rFonts w:eastAsia="Calibri"/>
                <w:sz w:val="20"/>
                <w:szCs w:val="20"/>
              </w:rPr>
            </w:r>
          </w:p>
        </w:tc>
      </w:tr>
    </w:tbl>
    <w:p>
      <w:pPr>
        <w:pStyle w:val="1167"/>
        <w:numPr>
          <w:ilvl w:val="0"/>
          <w:numId w:val="0"/>
        </w:numPr>
        <w:ind w:left="1134" w:firstLine="0"/>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оц</w:t>
      </w:r>
      <w:r>
        <w:rPr>
          <w:rFonts w:ascii="Times New Roman" w:hAnsi="Times New Roman" w:eastAsia="Times New Roman" w:cs="Times New Roman"/>
          <w:sz w:val="22"/>
          <w:szCs w:val="22"/>
        </w:rP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Pr>
          <w:rFonts w:ascii="Times New Roman" w:hAnsi="Times New Roman" w:eastAsia="Times New Roman" w:cs="Times New Roman"/>
          <w:sz w:val="22"/>
          <w:szCs w:val="22"/>
        </w:rPr>
        <w:t xml:space="preserve">на одной ветке иерархии </w:t>
      </w:r>
      <w:r>
        <w:rPr>
          <w:rFonts w:ascii="Times New Roman" w:hAnsi="Times New Roman" w:eastAsia="Times New Roman" w:cs="Times New Roman"/>
          <w:sz w:val="22"/>
          <w:szCs w:val="22"/>
        </w:rPr>
        <w:t xml:space="preserve">составляет 100%. Вычисление оценки </w:t>
      </w:r>
      <w:r>
        <w:rPr>
          <w:rFonts w:ascii="Times New Roman" w:hAnsi="Times New Roman" w:eastAsia="Times New Roman" w:cs="Times New Roman"/>
          <w:sz w:val="22"/>
          <w:szCs w:val="22"/>
        </w:rPr>
        <w:t xml:space="preserve">предпочтительности по каждому критерию и итоговой оценки предпочтительности заявки производится с точностью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десятитысячных балла.</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установленных </w:t>
      </w:r>
      <w:r>
        <w:rPr>
          <w:rFonts w:ascii="Times New Roman" w:hAnsi="Times New Roman" w:eastAsia="Times New Roman" w:cs="Times New Roman"/>
          <w:sz w:val="22"/>
          <w:szCs w:val="22"/>
        </w:rPr>
        <w:t xml:space="preserve">случа</w:t>
      </w:r>
      <w:r>
        <w:rPr>
          <w:rFonts w:ascii="Times New Roman" w:hAnsi="Times New Roman" w:eastAsia="Times New Roman" w:cs="Times New Roman"/>
          <w:sz w:val="22"/>
          <w:szCs w:val="22"/>
        </w:rPr>
        <w:t xml:space="preserve">ях </w:t>
      </w:r>
      <w:r>
        <w:rPr>
          <w:rFonts w:ascii="Times New Roman" w:hAnsi="Times New Roman" w:eastAsia="Times New Roman" w:cs="Times New Roman"/>
          <w:sz w:val="22"/>
          <w:szCs w:val="22"/>
        </w:rPr>
        <w:t xml:space="preserve">оценка и сопоставление заявок производится с учетом </w:t>
      </w:r>
      <w:r>
        <w:rPr>
          <w:rFonts w:ascii="Times New Roman" w:hAnsi="Times New Roman" w:eastAsia="Times New Roman" w:cs="Times New Roman"/>
          <w:sz w:val="22"/>
          <w:szCs w:val="22"/>
        </w:rPr>
        <w:t xml:space="preserve">предоставления национального режима</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Заявки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 числа успешно прошедших отборочную стадию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ранжируются по количеству набранных баллов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наибольшего к наименьшему), присвоенных заявкам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w:t>
      </w:r>
      <w:r>
        <w:rPr>
          <w:rFonts w:ascii="Times New Roman" w:hAnsi="Times New Roman" w:eastAsia="Times New Roman" w:cs="Times New Roman"/>
          <w:sz w:val="22"/>
          <w:szCs w:val="22"/>
        </w:rPr>
        <w:t xml:space="preserve"> оценки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73"/>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389" w:name="_Toc136249260"/>
      <w:r>
        <w:rPr>
          <w:rFonts w:ascii="Times New Roman" w:hAnsi="Times New Roman" w:eastAsia="Times New Roman" w:cs="Times New Roman"/>
          <w:sz w:val="22"/>
          <w:szCs w:val="22"/>
        </w:rPr>
      </w:r>
      <w:bookmarkStart w:id="390" w:name="_Toc136261689"/>
      <w:r>
        <w:rPr>
          <w:rFonts w:ascii="Times New Roman" w:hAnsi="Times New Roman" w:eastAsia="Times New Roman" w:cs="Times New Roman"/>
          <w:sz w:val="22"/>
          <w:szCs w:val="22"/>
        </w:rPr>
      </w:r>
      <w:bookmarkStart w:id="391" w:name="_Toc136261766"/>
      <w:r>
        <w:rPr>
          <w:rFonts w:ascii="Times New Roman" w:hAnsi="Times New Roman" w:eastAsia="Times New Roman" w:cs="Times New Roman"/>
          <w:sz w:val="22"/>
          <w:szCs w:val="22"/>
        </w:rPr>
      </w:r>
      <w:bookmarkStart w:id="392" w:name="_Toc136249261"/>
      <w:r>
        <w:rPr>
          <w:rFonts w:ascii="Times New Roman" w:hAnsi="Times New Roman" w:eastAsia="Times New Roman" w:cs="Times New Roman"/>
          <w:sz w:val="22"/>
          <w:szCs w:val="22"/>
        </w:rPr>
      </w:r>
      <w:bookmarkStart w:id="393" w:name="_Toc136261690"/>
      <w:r>
        <w:rPr>
          <w:rFonts w:ascii="Times New Roman" w:hAnsi="Times New Roman" w:eastAsia="Times New Roman" w:cs="Times New Roman"/>
          <w:sz w:val="22"/>
          <w:szCs w:val="22"/>
        </w:rPr>
      </w:r>
      <w:bookmarkStart w:id="394" w:name="_Toc136261767"/>
      <w:r>
        <w:rPr>
          <w:rFonts w:ascii="Times New Roman" w:hAnsi="Times New Roman" w:eastAsia="Times New Roman" w:cs="Times New Roman"/>
          <w:sz w:val="22"/>
          <w:szCs w:val="22"/>
        </w:rPr>
      </w:r>
      <w:bookmarkStart w:id="395" w:name="_Toc136249262"/>
      <w:r>
        <w:rPr>
          <w:rFonts w:ascii="Times New Roman" w:hAnsi="Times New Roman" w:eastAsia="Times New Roman" w:cs="Times New Roman"/>
          <w:sz w:val="22"/>
          <w:szCs w:val="22"/>
        </w:rPr>
      </w:r>
      <w:bookmarkStart w:id="396" w:name="_Toc136261691"/>
      <w:r>
        <w:rPr>
          <w:rFonts w:ascii="Times New Roman" w:hAnsi="Times New Roman" w:eastAsia="Times New Roman" w:cs="Times New Roman"/>
          <w:sz w:val="22"/>
          <w:szCs w:val="22"/>
        </w:rPr>
      </w:r>
      <w:bookmarkStart w:id="397" w:name="_Toc136261768"/>
      <w:r>
        <w:rPr>
          <w:rFonts w:ascii="Times New Roman" w:hAnsi="Times New Roman" w:eastAsia="Times New Roman" w:cs="Times New Roman"/>
          <w:sz w:val="22"/>
          <w:szCs w:val="22"/>
        </w:rPr>
      </w:r>
      <w:bookmarkStart w:id="398" w:name="_Toc136249263"/>
      <w:r>
        <w:rPr>
          <w:rFonts w:ascii="Times New Roman" w:hAnsi="Times New Roman" w:eastAsia="Times New Roman" w:cs="Times New Roman"/>
          <w:sz w:val="22"/>
          <w:szCs w:val="22"/>
        </w:rPr>
      </w:r>
      <w:bookmarkStart w:id="399" w:name="_Toc136261692"/>
      <w:r>
        <w:rPr>
          <w:rFonts w:ascii="Times New Roman" w:hAnsi="Times New Roman" w:eastAsia="Times New Roman" w:cs="Times New Roman"/>
          <w:sz w:val="22"/>
          <w:szCs w:val="22"/>
        </w:rPr>
      </w:r>
      <w:bookmarkStart w:id="400" w:name="_Toc136261769"/>
      <w:r>
        <w:rPr>
          <w:rFonts w:ascii="Times New Roman" w:hAnsi="Times New Roman" w:eastAsia="Times New Roman" w:cs="Times New Roman"/>
          <w:sz w:val="22"/>
          <w:szCs w:val="22"/>
        </w:rPr>
      </w:r>
      <w:bookmarkStart w:id="401" w:name="_Ref125360420"/>
      <w:r>
        <w:rPr>
          <w:rFonts w:ascii="Times New Roman" w:hAnsi="Times New Roman" w:eastAsia="Times New Roman" w:cs="Times New Roman"/>
          <w:sz w:val="22"/>
          <w:szCs w:val="22"/>
        </w:rPr>
      </w:r>
      <w:bookmarkStart w:id="402" w:name="Прил09_ОбоснованиеНМЦ"/>
      <w:r>
        <w:rPr>
          <w:rFonts w:ascii="Times New Roman" w:hAnsi="Times New Roman" w:eastAsia="Times New Roman" w:cs="Times New Roman"/>
          <w:sz w:val="22"/>
          <w:szCs w:val="22"/>
        </w:rPr>
      </w:r>
      <w:bookmarkStart w:id="403" w:name="_Toc186224079"/>
      <w:r>
        <w:rPr>
          <w:rFonts w:ascii="Times New Roman" w:hAnsi="Times New Roman" w:eastAsia="Times New Roman" w:cs="Times New Roman"/>
          <w:sz w:val="22"/>
          <w:szCs w:val="22"/>
        </w:rPr>
      </w:r>
      <w:bookmarkEnd w:id="389"/>
      <w:r>
        <w:rPr>
          <w:rFonts w:ascii="Times New Roman" w:hAnsi="Times New Roman" w:eastAsia="Times New Roman" w:cs="Times New Roman"/>
          <w:sz w:val="22"/>
          <w:szCs w:val="22"/>
        </w:rPr>
      </w:r>
      <w:bookmarkEnd w:id="390"/>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eastAsia="Times New Roman" w:cs="Times New Roman"/>
          <w:sz w:val="22"/>
          <w:szCs w:val="22"/>
        </w:rPr>
      </w:r>
      <w:bookmarkEnd w:id="397"/>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04" w:name="_Toc186224080"/>
      <w:r>
        <w:rPr>
          <w:rFonts w:ascii="Times New Roman" w:hAnsi="Times New Roman" w:eastAsia="Times New Roman" w:cs="Times New Roman"/>
          <w:sz w:val="22"/>
          <w:szCs w:val="22"/>
        </w:rPr>
        <w:t xml:space="preserve">Пояснения к Обоснованию НМЦ</w:t>
      </w:r>
      <w:bookmarkEnd w:id="404"/>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167"/>
        <w:rPr>
          <w:rFonts w:ascii="Times New Roman" w:hAnsi="Times New Roman" w:cs="Times New Roman"/>
          <w:sz w:val="22"/>
          <w:szCs w:val="22"/>
        </w:rPr>
      </w:pPr>
      <w:r>
        <w:rPr>
          <w:rFonts w:ascii="Times New Roman" w:hAnsi="Times New Roman" w:eastAsia="Times New Roman" w:cs="Times New Roman"/>
          <w:sz w:val="22"/>
          <w:szCs w:val="22"/>
        </w:rPr>
      </w:r>
      <w:bookmarkStart w:id="405" w:name="Прил10_ЗаявкаНаАккредитацию"/>
      <w:r>
        <w:rPr>
          <w:rFonts w:ascii="Times New Roman" w:hAnsi="Times New Roman" w:eastAsia="Times New Roman" w:cs="Times New Roman"/>
          <w:sz w:val="22"/>
          <w:szCs w:val="22"/>
        </w:rPr>
      </w:r>
      <w:bookmarkStart w:id="406" w:name="_Toc186224081"/>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06"/>
      <w:r>
        <w:rPr>
          <w:rFonts w:ascii="Times New Roman" w:hAnsi="Times New Roman" w:cs="Times New Roman"/>
          <w:sz w:val="22"/>
          <w:szCs w:val="22"/>
        </w:rPr>
      </w:r>
      <w:r>
        <w:rPr>
          <w:rFonts w:ascii="Times New Roman" w:hAnsi="Times New Roman" w:cs="Times New Roman"/>
          <w:sz w:val="22"/>
          <w:szCs w:val="22"/>
        </w:rPr>
      </w:r>
    </w:p>
    <w:p>
      <w:pPr>
        <w:pStyle w:val="1168"/>
        <w:rPr>
          <w:rFonts w:ascii="Times New Roman" w:hAnsi="Times New Roman" w:cs="Times New Roman"/>
          <w:sz w:val="22"/>
          <w:szCs w:val="22"/>
        </w:rPr>
      </w:pPr>
      <w:r>
        <w:rPr>
          <w:rFonts w:ascii="Times New Roman" w:hAnsi="Times New Roman" w:eastAsia="Times New Roman" w:cs="Times New Roman"/>
          <w:sz w:val="22"/>
          <w:szCs w:val="22"/>
        </w:rPr>
      </w:r>
      <w:bookmarkStart w:id="407" w:name="_Toc186224082"/>
      <w:r>
        <w:rPr>
          <w:rFonts w:ascii="Times New Roman" w:hAnsi="Times New Roman" w:eastAsia="Times New Roman" w:cs="Times New Roman"/>
          <w:sz w:val="22"/>
          <w:szCs w:val="22"/>
        </w:rPr>
        <w:t xml:space="preserve">Пояснения к форме Заявки на аккредитацию</w:t>
      </w:r>
      <w:bookmarkEnd w:id="407"/>
      <w:r>
        <w:rPr>
          <w:rFonts w:ascii="Times New Roman" w:hAnsi="Times New Roman" w:cs="Times New Roman"/>
          <w:sz w:val="22"/>
          <w:szCs w:val="22"/>
        </w:rPr>
      </w:r>
      <w:r>
        <w:rPr>
          <w:rFonts w:ascii="Times New Roman" w:hAnsi="Times New Roman" w:cs="Times New Roman"/>
          <w:sz w:val="22"/>
          <w:szCs w:val="22"/>
        </w:rPr>
      </w:r>
    </w:p>
    <w:p>
      <w:pPr>
        <w:pStyle w:val="1169"/>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173"/>
        <w:jc w:val="center"/>
        <w:rPr>
          <w:rFonts w:ascii="Times New Roman" w:hAnsi="Times New Roman" w:cs="Times New Roman"/>
          <w:sz w:val="22"/>
          <w:szCs w:val="22"/>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extLst>
                            <a:ext uri="{96DAC541-7B7A-43D3-8B79-37D633B846F1}">
                              <asvg:svgBlip xmlns:asvg="http://schemas.microsoft.com/office/drawing/2016/SVG/main" r:embed="rId24"/>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75pt;height:50.25pt;mso-wrap-distance-left:0.00pt;mso-wrap-distance-top:0.00pt;mso-wrap-distance-right:0.00pt;mso-wrap-distance-bottom:0.00pt;" stroked="f">
                <v:path textboxrect="0,0,0,0"/>
                <v:imagedata r:id="rId23"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80305040603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76"/>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82"/>
        <w:rPr>
          <w:sz w:val="20"/>
          <w:szCs w:val="20"/>
        </w:rPr>
      </w:pPr>
      <w:r>
        <w:rPr>
          <w:rStyle w:val="1181"/>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182"/>
        <w:rPr>
          <w:sz w:val="20"/>
          <w:szCs w:val="20"/>
        </w:rPr>
      </w:pPr>
      <w:r>
        <w:rPr>
          <w:rStyle w:val="1181"/>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rPr>
          <w:sz w:val="20"/>
          <w:szCs w:val="20"/>
        </w:rPr>
      </w:r>
      <w:r>
        <w:rPr>
          <w:sz w:val="20"/>
          <w:szCs w:val="20"/>
        </w:rPr>
      </w:r>
    </w:p>
  </w:footnote>
  <w:footnote w:id="4">
    <w:p>
      <w:pPr>
        <w:pStyle w:val="1182"/>
        <w:rPr>
          <w:sz w:val="20"/>
          <w:szCs w:val="20"/>
        </w:rPr>
      </w:pPr>
      <w:r>
        <w:rPr>
          <w:rStyle w:val="1181"/>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5">
    <w:p>
      <w:pPr>
        <w:pStyle w:val="1182"/>
        <w:rPr>
          <w:sz w:val="20"/>
          <w:szCs w:val="20"/>
        </w:rPr>
      </w:pPr>
      <w:r>
        <w:rPr>
          <w:rStyle w:val="1181"/>
        </w:rPr>
        <w:footnoteRef/>
      </w:r>
      <w:r>
        <w:tab/>
      </w:r>
      <w:r>
        <w:rPr>
          <w:sz w:val="20"/>
          <w:szCs w:val="20"/>
        </w:rPr>
        <w:t xml:space="preserve">При этом отклонение заявки за </w:t>
      </w:r>
      <w:r>
        <w:rPr>
          <w:sz w:val="20"/>
          <w:szCs w:val="20"/>
        </w:rPr>
        <w:t xml:space="preserve">отсутствие в ней документов, требующихся исключительно для</w:t>
      </w:r>
      <w:r>
        <w:rPr>
          <w:sz w:val="20"/>
          <w:szCs w:val="20"/>
        </w:rPr>
        <w:t xml:space="preserve"> </w:t>
      </w:r>
      <w:r>
        <w:rPr>
          <w:sz w:val="20"/>
          <w:szCs w:val="20"/>
        </w:rPr>
        <w:t xml:space="preserve">целей оценки и сопоставления заявок (подраздел </w:t>
      </w:r>
      <w:r>
        <w:rPr>
          <w:sz w:val="20"/>
          <w:szCs w:val="20"/>
        </w:rPr>
        <w:fldChar w:fldCharType="begin"/>
      </w:r>
      <w:r>
        <w:rPr>
          <w:sz w:val="20"/>
          <w:szCs w:val="20"/>
        </w:rPr>
        <w:instrText xml:space="preserve"> REF _Ref125362626 \w \h </w:instrText>
      </w:r>
      <w:r>
        <w:rPr>
          <w:sz w:val="20"/>
          <w:szCs w:val="20"/>
        </w:rPr>
        <w:instrText xml:space="preserve"> \* MERGEFORMAT </w:instrText>
      </w:r>
      <w:r>
        <w:rPr>
          <w:sz w:val="20"/>
          <w:szCs w:val="20"/>
        </w:rPr>
        <w:fldChar w:fldCharType="separate"/>
      </w:r>
      <w:r>
        <w:rPr>
          <w:sz w:val="20"/>
          <w:szCs w:val="20"/>
        </w:rPr>
        <w:t xml:space="preserve">4.12</w:t>
      </w:r>
      <w:r>
        <w:rPr>
          <w:sz w:val="20"/>
          <w:szCs w:val="20"/>
        </w:rPr>
        <w:fldChar w:fldCharType="end"/>
      </w:r>
      <w:r>
        <w:rPr>
          <w:sz w:val="20"/>
          <w:szCs w:val="20"/>
        </w:rPr>
        <w:t xml:space="preserve">), не допускается.</w:t>
      </w:r>
      <w:r>
        <w:rPr>
          <w:sz w:val="20"/>
          <w:szCs w:val="20"/>
        </w:rPr>
      </w:r>
      <w:r>
        <w:rPr>
          <w:sz w:val="20"/>
          <w:szCs w:val="20"/>
        </w:rPr>
      </w:r>
    </w:p>
  </w:footnote>
  <w:footnote w:id="6">
    <w:p>
      <w:pPr>
        <w:pStyle w:val="1182"/>
        <w:rPr>
          <w:sz w:val="20"/>
          <w:szCs w:val="20"/>
        </w:rPr>
      </w:pPr>
      <w:r>
        <w:rPr>
          <w:rStyle w:val="1181"/>
          <w:sz w:val="20"/>
          <w:szCs w:val="20"/>
        </w:rPr>
        <w:footnoteRef/>
      </w:r>
      <w:r>
        <w:rPr>
          <w:sz w:val="20"/>
          <w:szCs w:val="20"/>
        </w:rPr>
        <w:tab/>
        <w:t xml:space="preserve">С учетом пункта </w:t>
      </w:r>
      <w:r>
        <w:rPr>
          <w:sz w:val="20"/>
          <w:szCs w:val="20"/>
        </w:rPr>
        <w:fldChar w:fldCharType="begin"/>
      </w:r>
      <w:r>
        <w:rPr>
          <w:sz w:val="20"/>
          <w:szCs w:val="20"/>
        </w:rPr>
        <w:instrText xml:space="preserve"> REF _Ref125365558 \w \h </w:instrText>
      </w:r>
      <w:r>
        <w:rPr>
          <w:sz w:val="20"/>
          <w:szCs w:val="20"/>
        </w:rPr>
        <w:fldChar w:fldCharType="separate"/>
      </w:r>
      <w:r>
        <w:rPr>
          <w:sz w:val="20"/>
          <w:szCs w:val="20"/>
        </w:rPr>
        <w:t xml:space="preserve">4.13.5</w:t>
      </w:r>
      <w:r>
        <w:rPr>
          <w:sz w:val="20"/>
          <w:szCs w:val="20"/>
        </w:rPr>
        <w:fldChar w:fldCharType="end"/>
      </w:r>
      <w:r>
        <w:rPr>
          <w:sz w:val="20"/>
          <w:szCs w:val="20"/>
        </w:rPr>
        <w:t xml:space="preserve">.</w:t>
      </w:r>
      <w:r>
        <w:rPr>
          <w:sz w:val="20"/>
          <w:szCs w:val="20"/>
        </w:rPr>
      </w:r>
      <w:r>
        <w:rPr>
          <w:sz w:val="20"/>
          <w:szCs w:val="20"/>
        </w:rPr>
      </w:r>
    </w:p>
  </w:footnote>
  <w:footnote w:id="7">
    <w:p>
      <w:pPr>
        <w:pStyle w:val="1182"/>
        <w:rPr>
          <w:sz w:val="20"/>
          <w:szCs w:val="20"/>
        </w:rPr>
      </w:pPr>
      <w:r>
        <w:rPr>
          <w:rStyle w:val="1181"/>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8">
    <w:p>
      <w:pPr>
        <w:pStyle w:val="1182"/>
      </w:pPr>
      <w:r>
        <w:rPr>
          <w:rStyle w:val="1181"/>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9">
    <w:p>
      <w:pPr>
        <w:pStyle w:val="1182"/>
        <w:rPr>
          <w:sz w:val="20"/>
          <w:szCs w:val="20"/>
        </w:rPr>
      </w:pPr>
      <w:r>
        <w:rPr>
          <w:rStyle w:val="1181"/>
        </w:rPr>
        <w:footnoteRef/>
      </w:r>
      <w:r>
        <w:tab/>
      </w:r>
      <w:r>
        <w:rPr>
          <w:sz w:val="20"/>
          <w:szCs w:val="20"/>
        </w:rPr>
        <w:t xml:space="preserve">Увеличение на 15% (пятнадцать процентов) итоговой стоимости заявки (цены Договора) в случае </w:t>
      </w:r>
      <w:r>
        <w:rPr>
          <w:sz w:val="20"/>
          <w:szCs w:val="20"/>
        </w:rPr>
        <w:t xml:space="preserve">подачи им </w:t>
      </w:r>
      <w:r>
        <w:rPr>
          <w:sz w:val="20"/>
          <w:szCs w:val="20"/>
        </w:rPr>
        <w:t xml:space="preserve">предложения о размере платы, подлежащей внесению за заключение Договора.</w:t>
      </w:r>
      <w:r>
        <w:rPr>
          <w:sz w:val="20"/>
          <w:szCs w:val="20"/>
        </w:rPr>
      </w:r>
      <w:r>
        <w:rPr>
          <w:sz w:val="20"/>
          <w:szCs w:val="20"/>
        </w:rPr>
      </w:r>
    </w:p>
  </w:footnote>
  <w:footnote w:id="10">
    <w:p>
      <w:pPr>
        <w:pStyle w:val="1182"/>
      </w:pPr>
      <w:r>
        <w:rPr>
          <w:rStyle w:val="1181"/>
          <w:sz w:val="20"/>
          <w:szCs w:val="20"/>
        </w:rPr>
        <w:footnoteRef/>
      </w:r>
      <w:r>
        <w:rPr>
          <w:sz w:val="20"/>
          <w:szCs w:val="20"/>
        </w:rP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82"/>
        <w:rPr>
          <w:sz w:val="20"/>
          <w:szCs w:val="20"/>
        </w:rPr>
      </w:pPr>
      <w:r>
        <w:rPr>
          <w:rStyle w:val="1181"/>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2">
    <w:p>
      <w:pPr>
        <w:pStyle w:val="1182"/>
        <w:rPr>
          <w:sz w:val="20"/>
          <w:szCs w:val="20"/>
        </w:rPr>
      </w:pPr>
      <w:r>
        <w:rPr>
          <w:rStyle w:val="1181"/>
        </w:rPr>
        <w:footnoteRef/>
      </w:r>
      <w:r>
        <w:tab/>
      </w:r>
      <w:r>
        <w:rPr>
          <w:sz w:val="20"/>
          <w:szCs w:val="20"/>
        </w:rPr>
        <w:t xml:space="preserve">По решению Организатора (в соответствии с Приложением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3">
    <w:p>
      <w:pPr>
        <w:pStyle w:val="1182"/>
        <w:rPr>
          <w:sz w:val="20"/>
          <w:szCs w:val="20"/>
        </w:rPr>
      </w:pPr>
      <w:r>
        <w:rPr>
          <w:rStyle w:val="1181"/>
        </w:rPr>
        <w:footnoteRef/>
      </w:r>
      <w:r>
        <w:tab/>
      </w:r>
      <w:bookmarkStart w:id="269"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69"/>
      <w:r>
        <w:rPr>
          <w:sz w:val="20"/>
          <w:szCs w:val="20"/>
        </w:rPr>
      </w:r>
      <w:r>
        <w:rPr>
          <w:sz w:val="20"/>
          <w:szCs w:val="20"/>
        </w:rPr>
      </w:r>
    </w:p>
  </w:footnote>
  <w:footnote w:id="14">
    <w:p>
      <w:pPr>
        <w:pStyle w:val="1182"/>
        <w:rPr>
          <w:sz w:val="20"/>
          <w:szCs w:val="20"/>
        </w:rPr>
      </w:pPr>
      <w:r>
        <w:rPr>
          <w:rStyle w:val="1181"/>
          <w:sz w:val="20"/>
          <w:szCs w:val="20"/>
        </w:rPr>
        <w:footnoteRef/>
      </w:r>
      <w:r>
        <w:rPr>
          <w:sz w:val="20"/>
          <w:szCs w:val="20"/>
        </w:rPr>
        <w:tab/>
      </w:r>
      <w:bookmarkStart w:id="270" w:name="_Hlk139028803"/>
      <w:r>
        <w:rPr>
          <w:sz w:val="20"/>
          <w:szCs w:val="20"/>
        </w:rPr>
      </w:r>
      <w:bookmarkStart w:id="271"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w:t>
      </w:r>
      <w:r>
        <w:rPr>
          <w:sz w:val="20"/>
          <w:szCs w:val="20"/>
        </w:rPr>
        <w:t xml:space="preserve">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0"/>
      <w:r>
        <w:rPr>
          <w:sz w:val="20"/>
          <w:szCs w:val="20"/>
        </w:rPr>
      </w:r>
      <w:bookmarkEnd w:id="271"/>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67"/>
      <w:isLgl w:val="false"/>
      <w:suff w:val="tab"/>
      <w:lvlText w:val="%1."/>
      <w:lvlJc w:val="left"/>
      <w:pPr>
        <w:ind w:left="1134" w:hanging="1134"/>
        <w:tabs>
          <w:tab w:val="num" w:pos="1134" w:leader="none"/>
        </w:tabs>
      </w:pPr>
      <w:rPr>
        <w:rFonts w:hint="default"/>
      </w:rPr>
    </w:lvl>
    <w:lvl w:ilvl="1">
      <w:start w:val="1"/>
      <w:numFmt w:val="decimal"/>
      <w:pStyle w:val="1168"/>
      <w:isLgl w:val="false"/>
      <w:suff w:val="tab"/>
      <w:lvlText w:val="%1.%2"/>
      <w:lvlJc w:val="left"/>
      <w:pPr>
        <w:ind w:left="1134" w:hanging="1134"/>
        <w:tabs>
          <w:tab w:val="num" w:pos="1134" w:leader="none"/>
        </w:tabs>
      </w:pPr>
      <w:rPr>
        <w:rFonts w:hint="default"/>
        <w:highlight w:val="white"/>
      </w:rPr>
    </w:lvl>
    <w:lvl w:ilvl="2">
      <w:start w:val="1"/>
      <w:numFmt w:val="decimal"/>
      <w:pStyle w:val="1169"/>
      <w:isLgl w:val="false"/>
      <w:suff w:val="tab"/>
      <w:lvlText w:val="%1.%2.%3"/>
      <w:lvlJc w:val="left"/>
      <w:pPr>
        <w:ind w:left="1134" w:hanging="1134"/>
        <w:tabs>
          <w:tab w:val="num" w:pos="1134" w:leader="none"/>
        </w:tabs>
      </w:pPr>
      <w:rPr>
        <w:rFonts w:hint="default"/>
      </w:rPr>
    </w:lvl>
    <w:lvl w:ilvl="3">
      <w:start w:val="1"/>
      <w:numFmt w:val="russianLower"/>
      <w:pStyle w:val="1170"/>
      <w:isLgl w:val="false"/>
      <w:suff w:val="tab"/>
      <w:lvlText w:val="%4)"/>
      <w:lvlJc w:val="left"/>
      <w:pPr>
        <w:ind w:left="1701" w:hanging="567"/>
        <w:tabs>
          <w:tab w:val="num" w:pos="1701" w:leader="none"/>
        </w:tabs>
      </w:pPr>
      <w:rPr>
        <w:rFonts w:hint="default"/>
      </w:rPr>
    </w:lvl>
    <w:lvl w:ilvl="4">
      <w:start w:val="1"/>
      <w:numFmt w:val="bullet"/>
      <w:pStyle w:val="1171"/>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991" w:hanging="360"/>
      </w:pPr>
      <w:rPr>
        <w:rFonts w:hint="default" w:ascii="Arial" w:hAnsi="Arial" w:eastAsia="Arial" w:cs="Arial"/>
      </w:rPr>
    </w:lvl>
    <w:lvl w:ilvl="1">
      <w:start w:val="1"/>
      <w:numFmt w:val="bullet"/>
      <w:isLgl w:val="false"/>
      <w:suff w:val="tab"/>
      <w:lvlText w:val="o"/>
      <w:lvlJc w:val="left"/>
      <w:pPr>
        <w:ind w:left="1711" w:hanging="360"/>
      </w:pPr>
      <w:rPr>
        <w:rFonts w:hint="default" w:ascii="Courier New" w:hAnsi="Courier New" w:eastAsia="Courier New" w:cs="Courier New"/>
      </w:rPr>
    </w:lvl>
    <w:lvl w:ilvl="2">
      <w:start w:val="1"/>
      <w:numFmt w:val="bullet"/>
      <w:isLgl w:val="false"/>
      <w:suff w:val="tab"/>
      <w:lvlText w:val="§"/>
      <w:lvlJc w:val="left"/>
      <w:pPr>
        <w:ind w:left="2431" w:hanging="360"/>
      </w:pPr>
      <w:rPr>
        <w:rFonts w:hint="default" w:ascii="Wingdings" w:hAnsi="Wingdings" w:eastAsia="Wingdings" w:cs="Wingdings"/>
      </w:rPr>
    </w:lvl>
    <w:lvl w:ilvl="3">
      <w:start w:val="1"/>
      <w:numFmt w:val="bullet"/>
      <w:isLgl w:val="false"/>
      <w:suff w:val="tab"/>
      <w:lvlText w:val="·"/>
      <w:lvlJc w:val="left"/>
      <w:pPr>
        <w:ind w:left="3151" w:hanging="360"/>
      </w:pPr>
      <w:rPr>
        <w:rFonts w:hint="default" w:ascii="Symbol" w:hAnsi="Symbol" w:eastAsia="Symbol" w:cs="Symbol"/>
      </w:rPr>
    </w:lvl>
    <w:lvl w:ilvl="4">
      <w:start w:val="1"/>
      <w:numFmt w:val="bullet"/>
      <w:isLgl w:val="false"/>
      <w:suff w:val="tab"/>
      <w:lvlText w:val="o"/>
      <w:lvlJc w:val="left"/>
      <w:pPr>
        <w:ind w:left="3871" w:hanging="360"/>
      </w:pPr>
      <w:rPr>
        <w:rFonts w:hint="default" w:ascii="Courier New" w:hAnsi="Courier New" w:eastAsia="Courier New" w:cs="Courier New"/>
      </w:rPr>
    </w:lvl>
    <w:lvl w:ilvl="5">
      <w:start w:val="1"/>
      <w:numFmt w:val="bullet"/>
      <w:isLgl w:val="false"/>
      <w:suff w:val="tab"/>
      <w:lvlText w:val="§"/>
      <w:lvlJc w:val="left"/>
      <w:pPr>
        <w:ind w:left="4591" w:hanging="360"/>
      </w:pPr>
      <w:rPr>
        <w:rFonts w:hint="default" w:ascii="Wingdings" w:hAnsi="Wingdings" w:eastAsia="Wingdings" w:cs="Wingdings"/>
      </w:rPr>
    </w:lvl>
    <w:lvl w:ilvl="6">
      <w:start w:val="1"/>
      <w:numFmt w:val="bullet"/>
      <w:isLgl w:val="false"/>
      <w:suff w:val="tab"/>
      <w:lvlText w:val="·"/>
      <w:lvlJc w:val="left"/>
      <w:pPr>
        <w:ind w:left="5311" w:hanging="360"/>
      </w:pPr>
      <w:rPr>
        <w:rFonts w:hint="default" w:ascii="Symbol" w:hAnsi="Symbol" w:eastAsia="Symbol" w:cs="Symbol"/>
      </w:rPr>
    </w:lvl>
    <w:lvl w:ilvl="7">
      <w:start w:val="1"/>
      <w:numFmt w:val="bullet"/>
      <w:isLgl w:val="false"/>
      <w:suff w:val="tab"/>
      <w:lvlText w:val="o"/>
      <w:lvlJc w:val="left"/>
      <w:pPr>
        <w:ind w:left="6031" w:hanging="360"/>
      </w:pPr>
      <w:rPr>
        <w:rFonts w:hint="default" w:ascii="Courier New" w:hAnsi="Courier New" w:eastAsia="Courier New" w:cs="Courier New"/>
      </w:rPr>
    </w:lvl>
    <w:lvl w:ilvl="8">
      <w:start w:val="1"/>
      <w:numFmt w:val="bullet"/>
      <w:isLgl w:val="false"/>
      <w:suff w:val="tab"/>
      <w:lvlText w:val="§"/>
      <w:lvlJc w:val="left"/>
      <w:pPr>
        <w:ind w:left="6751" w:hanging="360"/>
      </w:pPr>
      <w:rPr>
        <w:rFonts w:hint="default" w:ascii="Wingdings" w:hAnsi="Wingdings" w:eastAsia="Wingdings" w:cs="Wingdings"/>
      </w:rPr>
    </w:lvl>
  </w:abstractNum>
  <w:abstractNum w:abstractNumId="41">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13"/>
      <w:isLgl w:val="false"/>
      <w:suff w:val="tab"/>
      <w:lvlText w:val="(%4)"/>
      <w:lvlJc w:val="left"/>
      <w:pPr>
        <w:ind w:left="1701" w:hanging="567"/>
      </w:pPr>
      <w:rPr>
        <w:rFonts w:hint="default"/>
      </w:rPr>
    </w:lvl>
    <w:lvl w:ilvl="4">
      <w:start w:val="1"/>
      <w:numFmt w:val="bullet"/>
      <w:pStyle w:val="1214"/>
      <w:isLgl w:val="false"/>
      <w:suff w:val="tab"/>
      <w:lvlText w:val="–"/>
      <w:lvlJc w:val="left"/>
      <w:pPr>
        <w:ind w:left="2268" w:hanging="567"/>
      </w:pPr>
      <w:rPr>
        <w:rFonts w:hint="default" w:ascii="Times New Roman" w:hAnsi="Times New Roman" w:cs="Times New Roman"/>
      </w:rPr>
    </w:lvl>
    <w:lvl w:ilvl="5">
      <w:start w:val="1"/>
      <w:numFmt w:val="none"/>
      <w:lvlRestart w:val="3"/>
      <w:pStyle w:val="1215"/>
      <w:isLgl w:val="false"/>
      <w:suff w:val="nothing"/>
      <w:lvlText w:val=""/>
      <w:lvlJc w:val="left"/>
      <w:pPr>
        <w:ind w:left="1134" w:firstLine="0"/>
      </w:pPr>
      <w:rPr>
        <w:rFonts w:hint="default"/>
      </w:rPr>
    </w:lvl>
    <w:lvl w:ilvl="6">
      <w:start w:val="1"/>
      <w:numFmt w:val="none"/>
      <w:lvlRestart w:val="4"/>
      <w:pStyle w:val="1216"/>
      <w:isLgl w:val="false"/>
      <w:suff w:val="nothing"/>
      <w:lvlText w:val=""/>
      <w:lvlJc w:val="left"/>
      <w:pPr>
        <w:ind w:left="1701" w:firstLine="0"/>
      </w:pPr>
      <w:rPr>
        <w:rFonts w:hint="default"/>
      </w:rPr>
    </w:lvl>
    <w:lvl w:ilvl="7">
      <w:start w:val="1"/>
      <w:numFmt w:val="none"/>
      <w:lvlRestart w:val="3"/>
      <w:pStyle w:val="1217"/>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01">
    <w:name w:val="Heading 1"/>
    <w:basedOn w:val="1163"/>
    <w:next w:val="1163"/>
    <w:link w:val="1002"/>
    <w:uiPriority w:val="9"/>
    <w:qFormat/>
    <w:pPr>
      <w:keepLines/>
      <w:keepNext/>
      <w:spacing w:before="480" w:after="200"/>
      <w:outlineLvl w:val="0"/>
    </w:pPr>
    <w:rPr>
      <w:rFonts w:ascii="Arial" w:hAnsi="Arial" w:eastAsia="Arial" w:cs="Arial"/>
      <w:sz w:val="40"/>
      <w:szCs w:val="40"/>
    </w:rPr>
  </w:style>
  <w:style w:type="character" w:styleId="1002">
    <w:name w:val="Heading 1 Char"/>
    <w:basedOn w:val="1164"/>
    <w:link w:val="1001"/>
    <w:uiPriority w:val="9"/>
    <w:rPr>
      <w:rFonts w:ascii="Arial" w:hAnsi="Arial" w:eastAsia="Arial" w:cs="Arial"/>
      <w:sz w:val="40"/>
      <w:szCs w:val="40"/>
    </w:rPr>
  </w:style>
  <w:style w:type="paragraph" w:styleId="1003">
    <w:name w:val="Heading 2"/>
    <w:basedOn w:val="1163"/>
    <w:next w:val="1163"/>
    <w:link w:val="1004"/>
    <w:uiPriority w:val="9"/>
    <w:unhideWhenUsed/>
    <w:qFormat/>
    <w:pPr>
      <w:keepLines/>
      <w:keepNext/>
      <w:spacing w:before="360" w:after="200"/>
      <w:outlineLvl w:val="1"/>
    </w:pPr>
    <w:rPr>
      <w:rFonts w:ascii="Arial" w:hAnsi="Arial" w:eastAsia="Arial" w:cs="Arial"/>
      <w:sz w:val="34"/>
    </w:rPr>
  </w:style>
  <w:style w:type="character" w:styleId="1004">
    <w:name w:val="Heading 2 Char"/>
    <w:basedOn w:val="1164"/>
    <w:link w:val="1003"/>
    <w:uiPriority w:val="9"/>
    <w:rPr>
      <w:rFonts w:ascii="Arial" w:hAnsi="Arial" w:eastAsia="Arial" w:cs="Arial"/>
      <w:sz w:val="34"/>
    </w:rPr>
  </w:style>
  <w:style w:type="paragraph" w:styleId="1005">
    <w:name w:val="Heading 3"/>
    <w:basedOn w:val="1163"/>
    <w:next w:val="1163"/>
    <w:link w:val="1006"/>
    <w:uiPriority w:val="9"/>
    <w:unhideWhenUsed/>
    <w:qFormat/>
    <w:pPr>
      <w:keepLines/>
      <w:keepNext/>
      <w:spacing w:before="320" w:after="200"/>
      <w:outlineLvl w:val="2"/>
    </w:pPr>
    <w:rPr>
      <w:rFonts w:ascii="Arial" w:hAnsi="Arial" w:eastAsia="Arial" w:cs="Arial"/>
      <w:sz w:val="30"/>
      <w:szCs w:val="30"/>
    </w:rPr>
  </w:style>
  <w:style w:type="character" w:styleId="1006">
    <w:name w:val="Heading 3 Char"/>
    <w:basedOn w:val="1164"/>
    <w:link w:val="1005"/>
    <w:uiPriority w:val="9"/>
    <w:rPr>
      <w:rFonts w:ascii="Arial" w:hAnsi="Arial" w:eastAsia="Arial" w:cs="Arial"/>
      <w:sz w:val="30"/>
      <w:szCs w:val="30"/>
    </w:rPr>
  </w:style>
  <w:style w:type="paragraph" w:styleId="1007">
    <w:name w:val="Heading 4"/>
    <w:basedOn w:val="1163"/>
    <w:next w:val="1163"/>
    <w:link w:val="1008"/>
    <w:uiPriority w:val="9"/>
    <w:unhideWhenUsed/>
    <w:qFormat/>
    <w:pPr>
      <w:keepLines/>
      <w:keepNext/>
      <w:spacing w:before="320" w:after="200"/>
      <w:outlineLvl w:val="3"/>
    </w:pPr>
    <w:rPr>
      <w:rFonts w:ascii="Arial" w:hAnsi="Arial" w:eastAsia="Arial" w:cs="Arial"/>
      <w:b/>
      <w:bCs/>
      <w:sz w:val="26"/>
      <w:szCs w:val="26"/>
    </w:rPr>
  </w:style>
  <w:style w:type="character" w:styleId="1008">
    <w:name w:val="Heading 4 Char"/>
    <w:basedOn w:val="1164"/>
    <w:link w:val="1007"/>
    <w:uiPriority w:val="9"/>
    <w:rPr>
      <w:rFonts w:ascii="Arial" w:hAnsi="Arial" w:eastAsia="Arial" w:cs="Arial"/>
      <w:b/>
      <w:bCs/>
      <w:sz w:val="26"/>
      <w:szCs w:val="26"/>
    </w:rPr>
  </w:style>
  <w:style w:type="paragraph" w:styleId="1009">
    <w:name w:val="Heading 5"/>
    <w:basedOn w:val="1163"/>
    <w:next w:val="1163"/>
    <w:link w:val="1010"/>
    <w:uiPriority w:val="9"/>
    <w:unhideWhenUsed/>
    <w:qFormat/>
    <w:pPr>
      <w:keepLines/>
      <w:keepNext/>
      <w:spacing w:before="320" w:after="200"/>
      <w:outlineLvl w:val="4"/>
    </w:pPr>
    <w:rPr>
      <w:rFonts w:ascii="Arial" w:hAnsi="Arial" w:eastAsia="Arial" w:cs="Arial"/>
      <w:b/>
      <w:bCs/>
      <w:sz w:val="24"/>
      <w:szCs w:val="24"/>
    </w:rPr>
  </w:style>
  <w:style w:type="character" w:styleId="1010">
    <w:name w:val="Heading 5 Char"/>
    <w:basedOn w:val="1164"/>
    <w:link w:val="1009"/>
    <w:uiPriority w:val="9"/>
    <w:rPr>
      <w:rFonts w:ascii="Arial" w:hAnsi="Arial" w:eastAsia="Arial" w:cs="Arial"/>
      <w:b/>
      <w:bCs/>
      <w:sz w:val="24"/>
      <w:szCs w:val="24"/>
    </w:rPr>
  </w:style>
  <w:style w:type="paragraph" w:styleId="1011">
    <w:name w:val="Heading 6"/>
    <w:basedOn w:val="1163"/>
    <w:next w:val="1163"/>
    <w:link w:val="1012"/>
    <w:uiPriority w:val="9"/>
    <w:unhideWhenUsed/>
    <w:qFormat/>
    <w:pPr>
      <w:keepLines/>
      <w:keepNext/>
      <w:spacing w:before="320" w:after="200"/>
      <w:outlineLvl w:val="5"/>
    </w:pPr>
    <w:rPr>
      <w:rFonts w:ascii="Arial" w:hAnsi="Arial" w:eastAsia="Arial" w:cs="Arial"/>
      <w:b/>
      <w:bCs/>
      <w:sz w:val="22"/>
      <w:szCs w:val="22"/>
    </w:rPr>
  </w:style>
  <w:style w:type="character" w:styleId="1012">
    <w:name w:val="Heading 6 Char"/>
    <w:basedOn w:val="1164"/>
    <w:link w:val="1011"/>
    <w:uiPriority w:val="9"/>
    <w:rPr>
      <w:rFonts w:ascii="Arial" w:hAnsi="Arial" w:eastAsia="Arial" w:cs="Arial"/>
      <w:b/>
      <w:bCs/>
      <w:sz w:val="22"/>
      <w:szCs w:val="22"/>
    </w:rPr>
  </w:style>
  <w:style w:type="paragraph" w:styleId="1013">
    <w:name w:val="Heading 7"/>
    <w:basedOn w:val="1163"/>
    <w:next w:val="1163"/>
    <w:link w:val="1014"/>
    <w:uiPriority w:val="9"/>
    <w:unhideWhenUsed/>
    <w:qFormat/>
    <w:pPr>
      <w:keepLines/>
      <w:keepNext/>
      <w:spacing w:before="320" w:after="200"/>
      <w:outlineLvl w:val="6"/>
    </w:pPr>
    <w:rPr>
      <w:rFonts w:ascii="Arial" w:hAnsi="Arial" w:eastAsia="Arial" w:cs="Arial"/>
      <w:b/>
      <w:bCs/>
      <w:i/>
      <w:iCs/>
      <w:sz w:val="22"/>
      <w:szCs w:val="22"/>
    </w:rPr>
  </w:style>
  <w:style w:type="character" w:styleId="1014">
    <w:name w:val="Heading 7 Char"/>
    <w:basedOn w:val="1164"/>
    <w:link w:val="1013"/>
    <w:uiPriority w:val="9"/>
    <w:rPr>
      <w:rFonts w:ascii="Arial" w:hAnsi="Arial" w:eastAsia="Arial" w:cs="Arial"/>
      <w:b/>
      <w:bCs/>
      <w:i/>
      <w:iCs/>
      <w:sz w:val="22"/>
      <w:szCs w:val="22"/>
    </w:rPr>
  </w:style>
  <w:style w:type="paragraph" w:styleId="1015">
    <w:name w:val="Heading 8"/>
    <w:basedOn w:val="1163"/>
    <w:next w:val="1163"/>
    <w:link w:val="1016"/>
    <w:uiPriority w:val="9"/>
    <w:unhideWhenUsed/>
    <w:qFormat/>
    <w:pPr>
      <w:keepLines/>
      <w:keepNext/>
      <w:spacing w:before="320" w:after="200"/>
      <w:outlineLvl w:val="7"/>
    </w:pPr>
    <w:rPr>
      <w:rFonts w:ascii="Arial" w:hAnsi="Arial" w:eastAsia="Arial" w:cs="Arial"/>
      <w:i/>
      <w:iCs/>
      <w:sz w:val="22"/>
      <w:szCs w:val="22"/>
    </w:rPr>
  </w:style>
  <w:style w:type="character" w:styleId="1016">
    <w:name w:val="Heading 8 Char"/>
    <w:basedOn w:val="1164"/>
    <w:link w:val="1015"/>
    <w:uiPriority w:val="9"/>
    <w:rPr>
      <w:rFonts w:ascii="Arial" w:hAnsi="Arial" w:eastAsia="Arial" w:cs="Arial"/>
      <w:i/>
      <w:iCs/>
      <w:sz w:val="22"/>
      <w:szCs w:val="22"/>
    </w:rPr>
  </w:style>
  <w:style w:type="paragraph" w:styleId="1017">
    <w:name w:val="Heading 9"/>
    <w:basedOn w:val="1163"/>
    <w:next w:val="1163"/>
    <w:link w:val="1018"/>
    <w:uiPriority w:val="9"/>
    <w:unhideWhenUsed/>
    <w:qFormat/>
    <w:pPr>
      <w:keepLines/>
      <w:keepNext/>
      <w:spacing w:before="320" w:after="200"/>
      <w:outlineLvl w:val="8"/>
    </w:pPr>
    <w:rPr>
      <w:rFonts w:ascii="Arial" w:hAnsi="Arial" w:eastAsia="Arial" w:cs="Arial"/>
      <w:i/>
      <w:iCs/>
      <w:sz w:val="21"/>
      <w:szCs w:val="21"/>
    </w:rPr>
  </w:style>
  <w:style w:type="character" w:styleId="1018">
    <w:name w:val="Heading 9 Char"/>
    <w:basedOn w:val="1164"/>
    <w:link w:val="1017"/>
    <w:uiPriority w:val="9"/>
    <w:rPr>
      <w:rFonts w:ascii="Arial" w:hAnsi="Arial" w:eastAsia="Arial" w:cs="Arial"/>
      <w:i/>
      <w:iCs/>
      <w:sz w:val="21"/>
      <w:szCs w:val="21"/>
    </w:rPr>
  </w:style>
  <w:style w:type="paragraph" w:styleId="1019">
    <w:name w:val="No Spacing"/>
    <w:uiPriority w:val="1"/>
    <w:qFormat/>
    <w:pPr>
      <w:spacing w:before="0" w:after="0" w:line="240" w:lineRule="auto"/>
    </w:pPr>
  </w:style>
  <w:style w:type="paragraph" w:styleId="1020">
    <w:name w:val="Title"/>
    <w:basedOn w:val="1163"/>
    <w:next w:val="1163"/>
    <w:link w:val="1021"/>
    <w:uiPriority w:val="10"/>
    <w:qFormat/>
    <w:pPr>
      <w:contextualSpacing/>
      <w:spacing w:before="300" w:after="200"/>
    </w:pPr>
    <w:rPr>
      <w:sz w:val="48"/>
      <w:szCs w:val="48"/>
    </w:rPr>
  </w:style>
  <w:style w:type="character" w:styleId="1021">
    <w:name w:val="Title Char"/>
    <w:basedOn w:val="1164"/>
    <w:link w:val="1020"/>
    <w:uiPriority w:val="10"/>
    <w:rPr>
      <w:sz w:val="48"/>
      <w:szCs w:val="48"/>
    </w:rPr>
  </w:style>
  <w:style w:type="paragraph" w:styleId="1022">
    <w:name w:val="Subtitle"/>
    <w:basedOn w:val="1163"/>
    <w:next w:val="1163"/>
    <w:link w:val="1023"/>
    <w:uiPriority w:val="11"/>
    <w:qFormat/>
    <w:pPr>
      <w:spacing w:before="200" w:after="200"/>
    </w:pPr>
    <w:rPr>
      <w:sz w:val="24"/>
      <w:szCs w:val="24"/>
    </w:rPr>
  </w:style>
  <w:style w:type="character" w:styleId="1023">
    <w:name w:val="Subtitle Char"/>
    <w:basedOn w:val="1164"/>
    <w:link w:val="1022"/>
    <w:uiPriority w:val="11"/>
    <w:rPr>
      <w:sz w:val="24"/>
      <w:szCs w:val="24"/>
    </w:rPr>
  </w:style>
  <w:style w:type="paragraph" w:styleId="1024">
    <w:name w:val="Quote"/>
    <w:basedOn w:val="1163"/>
    <w:next w:val="1163"/>
    <w:link w:val="1025"/>
    <w:uiPriority w:val="29"/>
    <w:qFormat/>
    <w:pPr>
      <w:ind w:left="720" w:right="720"/>
    </w:pPr>
    <w:rPr>
      <w:i/>
    </w:rPr>
  </w:style>
  <w:style w:type="character" w:styleId="1025">
    <w:name w:val="Quote Char"/>
    <w:link w:val="1024"/>
    <w:uiPriority w:val="29"/>
    <w:rPr>
      <w:i/>
    </w:rPr>
  </w:style>
  <w:style w:type="paragraph" w:styleId="1026">
    <w:name w:val="Intense Quote"/>
    <w:basedOn w:val="1163"/>
    <w:next w:val="1163"/>
    <w:link w:val="102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27">
    <w:name w:val="Intense Quote Char"/>
    <w:link w:val="1026"/>
    <w:uiPriority w:val="30"/>
    <w:rPr>
      <w:i/>
    </w:rPr>
  </w:style>
  <w:style w:type="character" w:styleId="1028">
    <w:name w:val="Header Char"/>
    <w:basedOn w:val="1164"/>
    <w:link w:val="1174"/>
    <w:uiPriority w:val="99"/>
  </w:style>
  <w:style w:type="character" w:styleId="1029">
    <w:name w:val="Footer Char"/>
    <w:basedOn w:val="1164"/>
    <w:link w:val="1176"/>
    <w:uiPriority w:val="99"/>
  </w:style>
  <w:style w:type="paragraph" w:styleId="1030">
    <w:name w:val="Caption"/>
    <w:basedOn w:val="1163"/>
    <w:next w:val="1163"/>
    <w:link w:val="1031"/>
    <w:uiPriority w:val="35"/>
    <w:semiHidden/>
    <w:unhideWhenUsed/>
    <w:qFormat/>
    <w:pPr>
      <w:spacing w:line="276" w:lineRule="auto"/>
    </w:pPr>
    <w:rPr>
      <w:b/>
      <w:bCs/>
      <w:color w:val="4f81bd" w:themeColor="accent1"/>
      <w:sz w:val="18"/>
      <w:szCs w:val="18"/>
    </w:rPr>
  </w:style>
  <w:style w:type="character" w:styleId="1031">
    <w:name w:val="Caption Char"/>
    <w:basedOn w:val="1030"/>
    <w:link w:val="1176"/>
    <w:uiPriority w:val="99"/>
  </w:style>
  <w:style w:type="table" w:styleId="1032">
    <w:name w:val="Table Grid Light"/>
    <w:basedOn w:val="116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33">
    <w:name w:val="Plain Table 1"/>
    <w:basedOn w:val="116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34">
    <w:name w:val="Plain Table 2"/>
    <w:basedOn w:val="116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35">
    <w:name w:val="Plain Table 3"/>
    <w:basedOn w:val="11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36">
    <w:name w:val="Plain Table 4"/>
    <w:basedOn w:val="11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37">
    <w:name w:val="Plain Table 5"/>
    <w:basedOn w:val="116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38">
    <w:name w:val="Grid Table 1 Light"/>
    <w:basedOn w:val="116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39">
    <w:name w:val="Grid Table 1 Light - Accent 1"/>
    <w:basedOn w:val="116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40">
    <w:name w:val="Grid Table 1 Light - Accent 2"/>
    <w:basedOn w:val="116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41">
    <w:name w:val="Grid Table 1 Light - Accent 3"/>
    <w:basedOn w:val="116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42">
    <w:name w:val="Grid Table 1 Light - Accent 4"/>
    <w:basedOn w:val="116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43">
    <w:name w:val="Grid Table 1 Light - Accent 5"/>
    <w:basedOn w:val="116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44">
    <w:name w:val="Grid Table 1 Light - Accent 6"/>
    <w:basedOn w:val="116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45">
    <w:name w:val="Grid Table 2"/>
    <w:basedOn w:val="116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46">
    <w:name w:val="Grid Table 2 - Accent 1"/>
    <w:basedOn w:val="116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47">
    <w:name w:val="Grid Table 2 - Accent 2"/>
    <w:basedOn w:val="116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48">
    <w:name w:val="Grid Table 2 - Accent 3"/>
    <w:basedOn w:val="116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49">
    <w:name w:val="Grid Table 2 - Accent 4"/>
    <w:basedOn w:val="116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50">
    <w:name w:val="Grid Table 2 - Accent 5"/>
    <w:basedOn w:val="116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51">
    <w:name w:val="Grid Table 2 - Accent 6"/>
    <w:basedOn w:val="116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52">
    <w:name w:val="Grid Table 3"/>
    <w:basedOn w:val="116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3">
    <w:name w:val="Grid Table 3 - Accent 1"/>
    <w:basedOn w:val="116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4">
    <w:name w:val="Grid Table 3 - Accent 2"/>
    <w:basedOn w:val="116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5">
    <w:name w:val="Grid Table 3 - Accent 3"/>
    <w:basedOn w:val="116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6">
    <w:name w:val="Grid Table 3 - Accent 4"/>
    <w:basedOn w:val="116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7">
    <w:name w:val="Grid Table 3 - Accent 5"/>
    <w:basedOn w:val="116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8">
    <w:name w:val="Grid Table 3 - Accent 6"/>
    <w:basedOn w:val="116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59">
    <w:name w:val="Grid Table 4"/>
    <w:basedOn w:val="116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60">
    <w:name w:val="Grid Table 4 - Accent 1"/>
    <w:basedOn w:val="116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61">
    <w:name w:val="Grid Table 4 - Accent 2"/>
    <w:basedOn w:val="116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62">
    <w:name w:val="Grid Table 4 - Accent 3"/>
    <w:basedOn w:val="116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63">
    <w:name w:val="Grid Table 4 - Accent 4"/>
    <w:basedOn w:val="116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64">
    <w:name w:val="Grid Table 4 - Accent 5"/>
    <w:basedOn w:val="116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65">
    <w:name w:val="Grid Table 4 - Accent 6"/>
    <w:basedOn w:val="116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66">
    <w:name w:val="Grid Table 5 Dark"/>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67">
    <w:name w:val="Grid Table 5 Dark- Accent 1"/>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68">
    <w:name w:val="Grid Table 5 Dark - Accent 2"/>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69">
    <w:name w:val="Grid Table 5 Dark - Accent 3"/>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70">
    <w:name w:val="Grid Table 5 Dark- Accent 4"/>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71">
    <w:name w:val="Grid Table 5 Dark - Accent 5"/>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72">
    <w:name w:val="Grid Table 5 Dark - Accent 6"/>
    <w:basedOn w:val="116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73">
    <w:name w:val="Grid Table 6 Colorful"/>
    <w:basedOn w:val="116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74">
    <w:name w:val="Grid Table 6 Colorful - Accent 1"/>
    <w:basedOn w:val="116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75">
    <w:name w:val="Grid Table 6 Colorful - Accent 2"/>
    <w:basedOn w:val="116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76">
    <w:name w:val="Grid Table 6 Colorful - Accent 3"/>
    <w:basedOn w:val="116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77">
    <w:name w:val="Grid Table 6 Colorful - Accent 4"/>
    <w:basedOn w:val="116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78">
    <w:name w:val="Grid Table 6 Colorful - Accent 5"/>
    <w:basedOn w:val="116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79">
    <w:name w:val="Grid Table 6 Colorful - Accent 6"/>
    <w:basedOn w:val="116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0">
    <w:name w:val="Grid Table 7 Colorful"/>
    <w:basedOn w:val="116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81">
    <w:name w:val="Grid Table 7 Colorful - Accent 1"/>
    <w:basedOn w:val="116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82">
    <w:name w:val="Grid Table 7 Colorful - Accent 2"/>
    <w:basedOn w:val="116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83">
    <w:name w:val="Grid Table 7 Colorful - Accent 3"/>
    <w:basedOn w:val="116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84">
    <w:name w:val="Grid Table 7 Colorful - Accent 4"/>
    <w:basedOn w:val="116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85">
    <w:name w:val="Grid Table 7 Colorful - Accent 5"/>
    <w:basedOn w:val="116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86">
    <w:name w:val="Grid Table 7 Colorful - Accent 6"/>
    <w:basedOn w:val="116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87">
    <w:name w:val="List Table 1 Light"/>
    <w:basedOn w:val="116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88">
    <w:name w:val="List Table 1 Light - Accent 1"/>
    <w:basedOn w:val="116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89">
    <w:name w:val="List Table 1 Light - Accent 2"/>
    <w:basedOn w:val="116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90">
    <w:name w:val="List Table 1 Light - Accent 3"/>
    <w:basedOn w:val="116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1">
    <w:name w:val="List Table 1 Light - Accent 4"/>
    <w:basedOn w:val="116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2">
    <w:name w:val="List Table 1 Light - Accent 5"/>
    <w:basedOn w:val="116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3">
    <w:name w:val="List Table 1 Light - Accent 6"/>
    <w:basedOn w:val="116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94">
    <w:name w:val="List Table 2"/>
    <w:basedOn w:val="116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95">
    <w:name w:val="List Table 2 - Accent 1"/>
    <w:basedOn w:val="116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96">
    <w:name w:val="List Table 2 - Accent 2"/>
    <w:basedOn w:val="116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97">
    <w:name w:val="List Table 2 - Accent 3"/>
    <w:basedOn w:val="116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98">
    <w:name w:val="List Table 2 - Accent 4"/>
    <w:basedOn w:val="116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99">
    <w:name w:val="List Table 2 - Accent 5"/>
    <w:basedOn w:val="116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00">
    <w:name w:val="List Table 2 - Accent 6"/>
    <w:basedOn w:val="116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01">
    <w:name w:val="List Table 3"/>
    <w:basedOn w:val="116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02">
    <w:name w:val="List Table 3 - Accent 1"/>
    <w:basedOn w:val="116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03">
    <w:name w:val="List Table 3 - Accent 2"/>
    <w:basedOn w:val="116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04">
    <w:name w:val="List Table 3 - Accent 3"/>
    <w:basedOn w:val="116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05">
    <w:name w:val="List Table 3 - Accent 4"/>
    <w:basedOn w:val="116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06">
    <w:name w:val="List Table 3 - Accent 5"/>
    <w:basedOn w:val="116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07">
    <w:name w:val="List Table 3 - Accent 6"/>
    <w:basedOn w:val="116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08">
    <w:name w:val="List Table 4"/>
    <w:basedOn w:val="116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09">
    <w:name w:val="List Table 4 - Accent 1"/>
    <w:basedOn w:val="116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0">
    <w:name w:val="List Table 4 - Accent 2"/>
    <w:basedOn w:val="116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11">
    <w:name w:val="List Table 4 - Accent 3"/>
    <w:basedOn w:val="116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12">
    <w:name w:val="List Table 4 - Accent 4"/>
    <w:basedOn w:val="116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13">
    <w:name w:val="List Table 4 - Accent 5"/>
    <w:basedOn w:val="116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14">
    <w:name w:val="List Table 4 - Accent 6"/>
    <w:basedOn w:val="116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15">
    <w:name w:val="List Table 5 Dark"/>
    <w:basedOn w:val="116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16">
    <w:name w:val="List Table 5 Dark - Accent 1"/>
    <w:basedOn w:val="116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17">
    <w:name w:val="List Table 5 Dark - Accent 2"/>
    <w:basedOn w:val="116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18">
    <w:name w:val="List Table 5 Dark - Accent 3"/>
    <w:basedOn w:val="116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19">
    <w:name w:val="List Table 5 Dark - Accent 4"/>
    <w:basedOn w:val="116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0">
    <w:name w:val="List Table 5 Dark - Accent 5"/>
    <w:basedOn w:val="116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1">
    <w:name w:val="List Table 5 Dark - Accent 6"/>
    <w:basedOn w:val="116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2">
    <w:name w:val="List Table 6 Colorful"/>
    <w:basedOn w:val="116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23">
    <w:name w:val="List Table 6 Colorful - Accent 1"/>
    <w:basedOn w:val="116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24">
    <w:name w:val="List Table 6 Colorful - Accent 2"/>
    <w:basedOn w:val="116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25">
    <w:name w:val="List Table 6 Colorful - Accent 3"/>
    <w:basedOn w:val="116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26">
    <w:name w:val="List Table 6 Colorful - Accent 4"/>
    <w:basedOn w:val="116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27">
    <w:name w:val="List Table 6 Colorful - Accent 5"/>
    <w:basedOn w:val="116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28">
    <w:name w:val="List Table 6 Colorful - Accent 6"/>
    <w:basedOn w:val="116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29">
    <w:name w:val="List Table 7 Colorful"/>
    <w:basedOn w:val="116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30">
    <w:name w:val="List Table 7 Colorful - Accent 1"/>
    <w:basedOn w:val="116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31">
    <w:name w:val="List Table 7 Colorful - Accent 2"/>
    <w:basedOn w:val="116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32">
    <w:name w:val="List Table 7 Colorful - Accent 3"/>
    <w:basedOn w:val="116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33">
    <w:name w:val="List Table 7 Colorful - Accent 4"/>
    <w:basedOn w:val="116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34">
    <w:name w:val="List Table 7 Colorful - Accent 5"/>
    <w:basedOn w:val="116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35">
    <w:name w:val="List Table 7 Colorful - Accent 6"/>
    <w:basedOn w:val="116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36">
    <w:name w:val="Lined - Accent"/>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37">
    <w:name w:val="Lined - Accent 1"/>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38">
    <w:name w:val="Lined - Accent 2"/>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39">
    <w:name w:val="Lined - Accent 3"/>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0">
    <w:name w:val="Lined - Accent 4"/>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1">
    <w:name w:val="Lined - Accent 5"/>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42">
    <w:name w:val="Lined - Accent 6"/>
    <w:basedOn w:val="116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43">
    <w:name w:val="Bordered &amp; Lined - Accent"/>
    <w:basedOn w:val="116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4">
    <w:name w:val="Bordered &amp; Lined - Accent 1"/>
    <w:basedOn w:val="116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5">
    <w:name w:val="Bordered &amp; Lined - Accent 2"/>
    <w:basedOn w:val="116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46">
    <w:name w:val="Bordered &amp; Lined - Accent 3"/>
    <w:basedOn w:val="116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7">
    <w:name w:val="Bordered &amp; Lined - Accent 4"/>
    <w:basedOn w:val="116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8">
    <w:name w:val="Bordered &amp; Lined - Accent 5"/>
    <w:basedOn w:val="116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49">
    <w:name w:val="Bordered &amp; Lined - Accent 6"/>
    <w:basedOn w:val="116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0">
    <w:name w:val="Bordered"/>
    <w:basedOn w:val="116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51">
    <w:name w:val="Bordered - Accent 1"/>
    <w:basedOn w:val="116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52">
    <w:name w:val="Bordered - Accent 2"/>
    <w:basedOn w:val="116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53">
    <w:name w:val="Bordered - Accent 3"/>
    <w:basedOn w:val="116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54">
    <w:name w:val="Bordered - Accent 4"/>
    <w:basedOn w:val="116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55">
    <w:name w:val="Bordered - Accent 5"/>
    <w:basedOn w:val="116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56">
    <w:name w:val="Bordered - Accent 6"/>
    <w:basedOn w:val="116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57">
    <w:name w:val="Footnote Text Char"/>
    <w:link w:val="1179"/>
    <w:uiPriority w:val="99"/>
    <w:rPr>
      <w:sz w:val="18"/>
    </w:rPr>
  </w:style>
  <w:style w:type="paragraph" w:styleId="1158">
    <w:name w:val="endnote text"/>
    <w:basedOn w:val="1163"/>
    <w:link w:val="1159"/>
    <w:uiPriority w:val="99"/>
    <w:semiHidden/>
    <w:unhideWhenUsed/>
    <w:pPr>
      <w:spacing w:after="0" w:line="240" w:lineRule="auto"/>
    </w:pPr>
    <w:rPr>
      <w:sz w:val="20"/>
    </w:rPr>
  </w:style>
  <w:style w:type="character" w:styleId="1159">
    <w:name w:val="Endnote Text Char"/>
    <w:link w:val="1158"/>
    <w:uiPriority w:val="99"/>
    <w:rPr>
      <w:sz w:val="20"/>
    </w:rPr>
  </w:style>
  <w:style w:type="character" w:styleId="1160">
    <w:name w:val="endnote reference"/>
    <w:basedOn w:val="1164"/>
    <w:uiPriority w:val="99"/>
    <w:semiHidden/>
    <w:unhideWhenUsed/>
    <w:rPr>
      <w:vertAlign w:val="superscript"/>
    </w:rPr>
  </w:style>
  <w:style w:type="paragraph" w:styleId="1161">
    <w:name w:val="TOC Heading"/>
    <w:uiPriority w:val="39"/>
    <w:unhideWhenUsed/>
  </w:style>
  <w:style w:type="paragraph" w:styleId="1162">
    <w:name w:val="table of figures"/>
    <w:basedOn w:val="1163"/>
    <w:next w:val="1163"/>
    <w:uiPriority w:val="99"/>
    <w:unhideWhenUsed/>
    <w:pPr>
      <w:spacing w:after="0" w:afterAutospacing="0"/>
    </w:pPr>
  </w:style>
  <w:style w:type="paragraph" w:styleId="1163" w:default="1">
    <w:name w:val="Normal"/>
    <w:qFormat/>
  </w:style>
  <w:style w:type="character" w:styleId="1164" w:default="1">
    <w:name w:val="Default Paragraph Font"/>
    <w:uiPriority w:val="1"/>
    <w:semiHidden/>
    <w:unhideWhenUsed/>
  </w:style>
  <w:style w:type="table" w:styleId="1165" w:default="1">
    <w:name w:val="Normal Table"/>
    <w:uiPriority w:val="99"/>
    <w:semiHidden/>
    <w:unhideWhenUsed/>
    <w:tblPr>
      <w:tblInd w:w="0" w:type="dxa"/>
      <w:tblCellMar>
        <w:left w:w="108" w:type="dxa"/>
        <w:top w:w="0" w:type="dxa"/>
        <w:right w:w="108" w:type="dxa"/>
        <w:bottom w:w="0" w:type="dxa"/>
      </w:tblCellMar>
    </w:tblPr>
  </w:style>
  <w:style w:type="numbering" w:styleId="1166" w:default="1">
    <w:name w:val="No List"/>
    <w:uiPriority w:val="99"/>
    <w:semiHidden/>
    <w:unhideWhenUsed/>
  </w:style>
  <w:style w:type="paragraph" w:styleId="1167" w:customStyle="1">
    <w:name w:val="[РГ] Раздел"/>
    <w:basedOn w:val="1163"/>
    <w:next w:val="1168"/>
    <w:qFormat/>
    <w:pPr>
      <w:numPr>
        <w:ilvl w:val="0"/>
        <w:numId w:val="1"/>
      </w:numPr>
      <w:jc w:val="both"/>
      <w:keepNext/>
      <w:pageBreakBefore/>
      <w:spacing w:before="0" w:after="360"/>
      <w:outlineLvl w:val="0"/>
    </w:pPr>
    <w:rPr>
      <w:b/>
      <w:bCs/>
      <w:caps/>
    </w:rPr>
  </w:style>
  <w:style w:type="paragraph" w:styleId="1168" w:customStyle="1">
    <w:name w:val="[РГ] Подраздел"/>
    <w:basedOn w:val="1163"/>
    <w:next w:val="1169"/>
    <w:qFormat/>
    <w:pPr>
      <w:numPr>
        <w:ilvl w:val="1"/>
        <w:numId w:val="1"/>
      </w:numPr>
      <w:jc w:val="both"/>
      <w:keepNext/>
      <w:spacing w:before="360"/>
      <w:outlineLvl w:val="1"/>
    </w:pPr>
    <w:rPr>
      <w:b/>
      <w:bCs/>
    </w:rPr>
  </w:style>
  <w:style w:type="paragraph" w:styleId="1169" w:customStyle="1">
    <w:name w:val="[РГ] Пункт"/>
    <w:basedOn w:val="1163"/>
    <w:qFormat/>
    <w:pPr>
      <w:numPr>
        <w:ilvl w:val="2"/>
        <w:numId w:val="1"/>
      </w:numPr>
      <w:jc w:val="both"/>
      <w:outlineLvl w:val="2"/>
    </w:pPr>
  </w:style>
  <w:style w:type="paragraph" w:styleId="1170" w:customStyle="1">
    <w:name w:val="[РГ] Подпункт"/>
    <w:basedOn w:val="1163"/>
    <w:qFormat/>
    <w:pPr>
      <w:numPr>
        <w:ilvl w:val="3"/>
        <w:numId w:val="1"/>
      </w:numPr>
      <w:jc w:val="both"/>
      <w:outlineLvl w:val="3"/>
    </w:pPr>
  </w:style>
  <w:style w:type="paragraph" w:styleId="1171" w:customStyle="1">
    <w:name w:val="[РГ] Перечисление"/>
    <w:basedOn w:val="1163"/>
    <w:qFormat/>
    <w:pPr>
      <w:numPr>
        <w:ilvl w:val="4"/>
        <w:numId w:val="1"/>
      </w:numPr>
      <w:jc w:val="both"/>
      <w:outlineLvl w:val="4"/>
    </w:pPr>
  </w:style>
  <w:style w:type="paragraph" w:styleId="1172" w:customStyle="1">
    <w:name w:val="[РГ] Заголовок"/>
    <w:basedOn w:val="1163"/>
    <w:next w:val="1173"/>
    <w:qFormat/>
    <w:pPr>
      <w:jc w:val="both"/>
      <w:keepNext/>
      <w:pageBreakBefore/>
      <w:spacing w:before="0" w:after="360"/>
    </w:pPr>
    <w:rPr>
      <w:b/>
      <w:bCs/>
      <w:caps/>
    </w:rPr>
  </w:style>
  <w:style w:type="paragraph" w:styleId="1173" w:customStyle="1">
    <w:name w:val="[РГ] Текст"/>
    <w:basedOn w:val="1163"/>
    <w:qFormat/>
    <w:pPr>
      <w:jc w:val="both"/>
    </w:pPr>
  </w:style>
  <w:style w:type="paragraph" w:styleId="1174">
    <w:name w:val="Header"/>
    <w:basedOn w:val="1163"/>
    <w:link w:val="1175"/>
    <w:uiPriority w:val="99"/>
    <w:unhideWhenUsed/>
    <w:pPr>
      <w:jc w:val="center"/>
      <w:spacing w:before="0" w:after="120"/>
    </w:pPr>
  </w:style>
  <w:style w:type="character" w:styleId="1175" w:customStyle="1">
    <w:name w:val="Верхний колонтитул Знак"/>
    <w:basedOn w:val="1164"/>
    <w:link w:val="1174"/>
    <w:uiPriority w:val="99"/>
  </w:style>
  <w:style w:type="paragraph" w:styleId="1176">
    <w:name w:val="Footer"/>
    <w:basedOn w:val="1163"/>
    <w:link w:val="1177"/>
    <w:uiPriority w:val="99"/>
    <w:unhideWhenUsed/>
    <w:pPr>
      <w:jc w:val="right"/>
    </w:pPr>
  </w:style>
  <w:style w:type="character" w:styleId="1177" w:customStyle="1">
    <w:name w:val="Нижний колонтитул Знак"/>
    <w:basedOn w:val="1164"/>
    <w:link w:val="1176"/>
    <w:uiPriority w:val="99"/>
  </w:style>
  <w:style w:type="character" w:styleId="1178" w:customStyle="1">
    <w:name w:val="[РГ] Инструкция для организатора"/>
    <w:basedOn w:val="1164"/>
    <w:uiPriority w:val="1"/>
    <w:qFormat/>
    <w:rPr>
      <w:i/>
      <w:iCs/>
      <w:shd w:val="clear" w:color="auto" w:fill="ffff99"/>
      <w:lang w:val="ru-RU"/>
    </w:rPr>
  </w:style>
  <w:style w:type="paragraph" w:styleId="1179">
    <w:name w:val="footnote text"/>
    <w:basedOn w:val="1163"/>
    <w:link w:val="1180"/>
    <w:uiPriority w:val="99"/>
    <w:semiHidden/>
    <w:unhideWhenUsed/>
    <w:pPr>
      <w:spacing w:before="0"/>
    </w:pPr>
    <w:rPr>
      <w:sz w:val="20"/>
      <w:szCs w:val="20"/>
    </w:rPr>
  </w:style>
  <w:style w:type="character" w:styleId="1180" w:customStyle="1">
    <w:name w:val="Текст сноски Знак"/>
    <w:basedOn w:val="1164"/>
    <w:link w:val="1179"/>
    <w:uiPriority w:val="99"/>
    <w:semiHidden/>
    <w:rPr>
      <w:sz w:val="20"/>
      <w:szCs w:val="20"/>
    </w:rPr>
  </w:style>
  <w:style w:type="character" w:styleId="1181">
    <w:name w:val="footnote reference"/>
    <w:basedOn w:val="1164"/>
    <w:unhideWhenUsed/>
    <w:rPr>
      <w:vertAlign w:val="superscript"/>
    </w:rPr>
  </w:style>
  <w:style w:type="paragraph" w:styleId="1182" w:customStyle="1">
    <w:name w:val="[РГ] Сноска"/>
    <w:basedOn w:val="1179"/>
    <w:qFormat/>
    <w:pPr>
      <w:ind w:left="567" w:hanging="567"/>
      <w:jc w:val="both"/>
      <w:spacing w:before="80"/>
    </w:pPr>
    <w:rPr>
      <w:sz w:val="22"/>
    </w:rPr>
  </w:style>
  <w:style w:type="character" w:styleId="1183">
    <w:name w:val="Hyperlink"/>
    <w:basedOn w:val="1164"/>
    <w:uiPriority w:val="99"/>
    <w:unhideWhenUsed/>
    <w:rPr>
      <w:color w:val="0563c1" w:themeColor="hyperlink"/>
      <w:u w:val="single"/>
    </w:rPr>
  </w:style>
  <w:style w:type="character" w:styleId="1184">
    <w:name w:val="Unresolved Mention"/>
    <w:basedOn w:val="1164"/>
    <w:uiPriority w:val="99"/>
    <w:semiHidden/>
    <w:unhideWhenUsed/>
    <w:rPr>
      <w:color w:val="605e5c"/>
      <w:shd w:val="clear" w:color="auto" w:fill="e1dfdd"/>
    </w:rPr>
  </w:style>
  <w:style w:type="paragraph" w:styleId="1185">
    <w:name w:val="toc 2"/>
    <w:basedOn w:val="1163"/>
    <w:next w:val="1163"/>
    <w:uiPriority w:val="39"/>
    <w:unhideWhenUsed/>
    <w:pPr>
      <w:ind w:left="851" w:hanging="851"/>
      <w:spacing w:after="120"/>
      <w:tabs>
        <w:tab w:val="left" w:pos="851" w:leader="none"/>
        <w:tab w:val="right" w:pos="9923" w:leader="none"/>
      </w:tabs>
    </w:pPr>
  </w:style>
  <w:style w:type="paragraph" w:styleId="1186">
    <w:name w:val="toc 1"/>
    <w:basedOn w:val="1163"/>
    <w:next w:val="1163"/>
    <w:uiPriority w:val="39"/>
    <w:unhideWhenUsed/>
    <w:pPr>
      <w:ind w:left="851" w:hanging="851"/>
      <w:keepNext/>
      <w:spacing w:after="120"/>
      <w:tabs>
        <w:tab w:val="left" w:pos="851" w:leader="none"/>
        <w:tab w:val="right" w:pos="9923" w:leader="none"/>
      </w:tabs>
    </w:pPr>
    <w:rPr>
      <w:b/>
      <w:caps/>
    </w:rPr>
  </w:style>
  <w:style w:type="paragraph" w:styleId="1187">
    <w:name w:val="toc 3"/>
    <w:basedOn w:val="1163"/>
    <w:next w:val="1163"/>
    <w:uiPriority w:val="39"/>
    <w:unhideWhenUsed/>
    <w:pPr>
      <w:ind w:left="440"/>
      <w:spacing w:before="0" w:after="100" w:line="259" w:lineRule="auto"/>
    </w:pPr>
    <w:rPr>
      <w:rFonts w:asciiTheme="minorHAnsi" w:hAnsiTheme="minorHAnsi" w:eastAsiaTheme="minorEastAsia"/>
      <w:sz w:val="22"/>
      <w:lang w:eastAsia="ru-RU"/>
    </w:rPr>
  </w:style>
  <w:style w:type="paragraph" w:styleId="1188">
    <w:name w:val="toc 4"/>
    <w:basedOn w:val="1163"/>
    <w:next w:val="1163"/>
    <w:uiPriority w:val="39"/>
    <w:unhideWhenUsed/>
    <w:pPr>
      <w:ind w:left="660"/>
      <w:spacing w:before="0" w:after="100" w:line="259" w:lineRule="auto"/>
    </w:pPr>
    <w:rPr>
      <w:rFonts w:asciiTheme="minorHAnsi" w:hAnsiTheme="minorHAnsi" w:eastAsiaTheme="minorEastAsia"/>
      <w:sz w:val="22"/>
      <w:lang w:eastAsia="ru-RU"/>
    </w:rPr>
  </w:style>
  <w:style w:type="paragraph" w:styleId="1189">
    <w:name w:val="toc 5"/>
    <w:basedOn w:val="1163"/>
    <w:next w:val="1163"/>
    <w:uiPriority w:val="39"/>
    <w:unhideWhenUsed/>
    <w:pPr>
      <w:ind w:left="880"/>
      <w:spacing w:before="0" w:after="100" w:line="259" w:lineRule="auto"/>
    </w:pPr>
    <w:rPr>
      <w:rFonts w:asciiTheme="minorHAnsi" w:hAnsiTheme="minorHAnsi" w:eastAsiaTheme="minorEastAsia"/>
      <w:sz w:val="22"/>
      <w:lang w:eastAsia="ru-RU"/>
    </w:rPr>
  </w:style>
  <w:style w:type="paragraph" w:styleId="1190">
    <w:name w:val="toc 6"/>
    <w:basedOn w:val="1163"/>
    <w:next w:val="1163"/>
    <w:uiPriority w:val="39"/>
    <w:unhideWhenUsed/>
    <w:pPr>
      <w:ind w:left="1100"/>
      <w:spacing w:before="0" w:after="100" w:line="259" w:lineRule="auto"/>
    </w:pPr>
    <w:rPr>
      <w:rFonts w:asciiTheme="minorHAnsi" w:hAnsiTheme="minorHAnsi" w:eastAsiaTheme="minorEastAsia"/>
      <w:sz w:val="22"/>
      <w:lang w:eastAsia="ru-RU"/>
    </w:rPr>
  </w:style>
  <w:style w:type="paragraph" w:styleId="1191">
    <w:name w:val="toc 7"/>
    <w:basedOn w:val="1163"/>
    <w:next w:val="1163"/>
    <w:uiPriority w:val="39"/>
    <w:unhideWhenUsed/>
    <w:pPr>
      <w:ind w:left="1320"/>
      <w:spacing w:before="0" w:after="100" w:line="259" w:lineRule="auto"/>
    </w:pPr>
    <w:rPr>
      <w:rFonts w:asciiTheme="minorHAnsi" w:hAnsiTheme="minorHAnsi" w:eastAsiaTheme="minorEastAsia"/>
      <w:sz w:val="22"/>
      <w:lang w:eastAsia="ru-RU"/>
    </w:rPr>
  </w:style>
  <w:style w:type="paragraph" w:styleId="1192">
    <w:name w:val="toc 8"/>
    <w:basedOn w:val="1163"/>
    <w:next w:val="1163"/>
    <w:uiPriority w:val="39"/>
    <w:unhideWhenUsed/>
    <w:pPr>
      <w:ind w:left="1540"/>
      <w:spacing w:before="0" w:after="100" w:line="259" w:lineRule="auto"/>
    </w:pPr>
    <w:rPr>
      <w:rFonts w:asciiTheme="minorHAnsi" w:hAnsiTheme="minorHAnsi" w:eastAsiaTheme="minorEastAsia"/>
      <w:sz w:val="22"/>
      <w:lang w:eastAsia="ru-RU"/>
    </w:rPr>
  </w:style>
  <w:style w:type="paragraph" w:styleId="1193">
    <w:name w:val="toc 9"/>
    <w:basedOn w:val="1163"/>
    <w:next w:val="1163"/>
    <w:uiPriority w:val="39"/>
    <w:unhideWhenUsed/>
    <w:pPr>
      <w:ind w:left="1760"/>
      <w:spacing w:before="0" w:after="100" w:line="259" w:lineRule="auto"/>
    </w:pPr>
    <w:rPr>
      <w:rFonts w:asciiTheme="minorHAnsi" w:hAnsiTheme="minorHAnsi" w:eastAsiaTheme="minorEastAsia"/>
      <w:sz w:val="22"/>
      <w:lang w:eastAsia="ru-RU"/>
    </w:rPr>
  </w:style>
  <w:style w:type="table" w:styleId="1194" w:customStyle="1">
    <w:name w:val="[РГ] Таблица"/>
    <w:basedOn w:val="116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95">
    <w:name w:val="Table Grid"/>
    <w:basedOn w:val="1165"/>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96">
    <w:name w:val="Placeholder Text"/>
    <w:basedOn w:val="1164"/>
    <w:uiPriority w:val="99"/>
    <w:semiHidden/>
    <w:rPr>
      <w:color w:val="808080"/>
    </w:rPr>
  </w:style>
  <w:style w:type="character" w:styleId="1197" w:customStyle="1">
    <w:name w:val="[РГ] Отсылка"/>
    <w:basedOn w:val="1164"/>
    <w:uiPriority w:val="1"/>
    <w:qFormat/>
    <w:rPr>
      <w:color w:val="auto"/>
      <w:spacing w:val="0"/>
      <w:u w:val="single"/>
      <w:shd w:val="clear" w:color="auto" w:fill="auto"/>
      <w:lang w:val="ru-RU"/>
    </w:rPr>
  </w:style>
  <w:style w:type="character" w:styleId="1198">
    <w:name w:val="annotation reference"/>
    <w:basedOn w:val="1164"/>
    <w:unhideWhenUsed/>
    <w:rPr>
      <w:sz w:val="16"/>
      <w:szCs w:val="16"/>
    </w:rPr>
  </w:style>
  <w:style w:type="paragraph" w:styleId="1199">
    <w:name w:val="annotation text"/>
    <w:basedOn w:val="1163"/>
    <w:link w:val="1200"/>
    <w:uiPriority w:val="99"/>
    <w:unhideWhenUsed/>
    <w:rPr>
      <w:sz w:val="20"/>
      <w:szCs w:val="20"/>
    </w:rPr>
  </w:style>
  <w:style w:type="character" w:styleId="1200" w:customStyle="1">
    <w:name w:val="Текст примечания Знак"/>
    <w:basedOn w:val="1164"/>
    <w:link w:val="1199"/>
    <w:uiPriority w:val="99"/>
    <w:rPr>
      <w:sz w:val="20"/>
      <w:szCs w:val="20"/>
    </w:rPr>
  </w:style>
  <w:style w:type="paragraph" w:styleId="1201">
    <w:name w:val="annotation subject"/>
    <w:basedOn w:val="1199"/>
    <w:next w:val="1199"/>
    <w:link w:val="1202"/>
    <w:uiPriority w:val="99"/>
    <w:semiHidden/>
    <w:unhideWhenUsed/>
    <w:rPr>
      <w:b/>
      <w:bCs/>
    </w:rPr>
  </w:style>
  <w:style w:type="character" w:styleId="1202" w:customStyle="1">
    <w:name w:val="Тема примечания Знак"/>
    <w:basedOn w:val="1200"/>
    <w:link w:val="1201"/>
    <w:uiPriority w:val="99"/>
    <w:semiHidden/>
    <w:rPr>
      <w:b/>
      <w:bCs/>
      <w:sz w:val="20"/>
      <w:szCs w:val="20"/>
    </w:rPr>
  </w:style>
  <w:style w:type="paragraph" w:styleId="1203" w:customStyle="1">
    <w:name w:val="[РГ] Альтернатива / Дополнение"/>
    <w:basedOn w:val="1173"/>
    <w:next w:val="1173"/>
    <w:qFormat/>
    <w:rPr>
      <w:i/>
      <w:shd w:val="clear" w:color="auto" w:fill="ccecff"/>
    </w:rPr>
  </w:style>
  <w:style w:type="character" w:styleId="1204" w:customStyle="1">
    <w:name w:val="[РГ] Инструкция для участника"/>
    <w:basedOn w:val="1164"/>
    <w:uiPriority w:val="1"/>
    <w:qFormat/>
    <w:rPr>
      <w:i/>
      <w:shd w:val="clear" w:color="auto" w:fill="d0cece" w:themeFill="background2" w:themeFillShade="E6"/>
      <w:lang w:val="ru-RU"/>
    </w:rPr>
  </w:style>
  <w:style w:type="paragraph" w:styleId="1205">
    <w:name w:val="Revision"/>
    <w:hidden/>
    <w:uiPriority w:val="99"/>
    <w:semiHidden/>
    <w:pPr>
      <w:spacing w:before="0"/>
    </w:pPr>
  </w:style>
  <w:style w:type="character" w:styleId="1206">
    <w:name w:val="FollowedHyperlink"/>
    <w:basedOn w:val="1164"/>
    <w:uiPriority w:val="99"/>
    <w:semiHidden/>
    <w:unhideWhenUsed/>
    <w:rPr>
      <w:color w:val="954f72" w:themeColor="followedHyperlink"/>
      <w:u w:val="single"/>
    </w:rPr>
  </w:style>
  <w:style w:type="paragraph" w:styleId="1207">
    <w:name w:val="List Paragraph"/>
    <w:basedOn w:val="1163"/>
    <w:uiPriority w:val="34"/>
    <w:qFormat/>
    <w:pPr>
      <w:contextualSpacing/>
      <w:ind w:left="720"/>
    </w:pPr>
  </w:style>
  <w:style w:type="paragraph" w:styleId="1208">
    <w:name w:val="Balloon Text"/>
    <w:basedOn w:val="1163"/>
    <w:link w:val="1209"/>
    <w:uiPriority w:val="99"/>
    <w:semiHidden/>
    <w:unhideWhenUsed/>
    <w:pPr>
      <w:spacing w:before="0"/>
    </w:pPr>
    <w:rPr>
      <w:rFonts w:ascii="Segoe UI" w:hAnsi="Segoe UI" w:cs="Segoe UI"/>
      <w:sz w:val="18"/>
      <w:szCs w:val="18"/>
    </w:rPr>
  </w:style>
  <w:style w:type="character" w:styleId="1209" w:customStyle="1">
    <w:name w:val="Текст выноски Знак"/>
    <w:basedOn w:val="1164"/>
    <w:link w:val="1208"/>
    <w:uiPriority w:val="99"/>
    <w:semiHidden/>
    <w:rPr>
      <w:rFonts w:ascii="Segoe UI" w:hAnsi="Segoe UI" w:cs="Segoe UI"/>
      <w:sz w:val="18"/>
      <w:szCs w:val="18"/>
    </w:rPr>
  </w:style>
  <w:style w:type="paragraph" w:styleId="1210"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table" w:styleId="1211" w:customStyle="1">
    <w:name w:val="Сетка таблицы1"/>
    <w:uiPriority w:val="5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12" w:customStyle="1">
    <w:name w:val="Emphasis"/>
    <w:uiPriority w:val="20"/>
    <w:qFormat/>
    <w:rPr>
      <w:i/>
      <w:iCs/>
    </w:rPr>
  </w:style>
  <w:style w:type="paragraph" w:styleId="1213" w:customStyle="1">
    <w:name w:val="УРОВЕНЬ_(а)"/>
    <w:basedOn w:val="1041"/>
    <w:qFormat/>
    <w:pPr>
      <w:numPr>
        <w:ilvl w:val="3"/>
        <w:numId w:val="47"/>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14" w:customStyle="1">
    <w:name w:val="УРОВЕНЬ_-"/>
    <w:basedOn w:val="1041"/>
    <w:qFormat/>
    <w:pPr>
      <w:numPr>
        <w:ilvl w:val="4"/>
        <w:numId w:val="47"/>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15" w:customStyle="1">
    <w:name w:val="УРОВЕНЬ_Подпись"/>
    <w:basedOn w:val="1041"/>
    <w:qFormat/>
    <w:pPr>
      <w:numPr>
        <w:ilvl w:val="5"/>
        <w:numId w:val="47"/>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16" w:customStyle="1">
    <w:name w:val="УРОВЕНЬ_Абзац_тип2"/>
    <w:basedOn w:val="1041"/>
    <w:qFormat/>
    <w:pPr>
      <w:numPr>
        <w:ilvl w:val="6"/>
        <w:numId w:val="47"/>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17" w:customStyle="1">
    <w:name w:val="УРОВЕНЬ_Абзац_тип3"/>
    <w:basedOn w:val="1041"/>
    <w:link w:val="1072"/>
    <w:qFormat/>
    <w:pPr>
      <w:numPr>
        <w:ilvl w:val="7"/>
        <w:numId w:val="47"/>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s://rushydro.roseltorg.ru" TargetMode="External"/><Relationship Id="rId13" Type="http://schemas.openxmlformats.org/officeDocument/2006/relationships/hyperlink" Target="https://www.roseltorg.ru/personal/rushydro" TargetMode="External"/><Relationship Id="rId14" Type="http://schemas.openxmlformats.org/officeDocument/2006/relationships/hyperlink" Target="mailto:dgk@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image" Target="media/image4.png"/><Relationship Id="rId24"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195</cp:revision>
  <dcterms:created xsi:type="dcterms:W3CDTF">2023-06-27T10:22:00Z</dcterms:created>
  <dcterms:modified xsi:type="dcterms:W3CDTF">2026-04-10T04:24:40Z</dcterms:modified>
</cp:coreProperties>
</file>